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wmf" ContentType="image/x-wmf"/>
  <Default Extension="png" ContentType="image/png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1092"/>
        <w:pBdr/>
        <w:spacing w:line="276" w:lineRule="auto"/>
        <w:ind/>
        <w:rPr/>
      </w:pPr>
      <w:r>
        <w:t xml:space="preserve">OBSAH</w:t>
      </w:r>
      <w:r/>
    </w:p>
    <w:p w14:paraId="693236EB">
      <w:pPr>
        <w:pStyle w:val="1061"/>
        <w:pBdr/>
        <w:tabs>
          <w:tab w:val="left" w:leader="none" w:pos="567"/>
          <w:tab w:val="clear" w:leader="none" w:pos="567"/>
          <w:tab w:val="right" w:leader="dot" w:pos="9355"/>
        </w:tabs>
        <w:spacing/>
        <w:ind/>
        <w:rPr/>
      </w:pPr>
      <w:r>
        <w:fldChar w:fldCharType="begin"/>
      </w:r>
      <w:r>
        <w:instrText xml:space="preserve"> TOC \o "1-3" \h \z \u </w:instrText>
      </w:r>
      <w:r>
        <w:fldChar w:fldCharType="separate"/>
      </w:r>
      <w:r/>
      <w:hyperlink w:tooltip="#_Toc200920514" w:anchor="_Toc200920514" w:history="1">
        <w:r>
          <w:rPr>
            <w:rFonts w:ascii="Arial" w:hAnsi="Arial" w:eastAsia="Times New Roman" w:cs="Times New Roman"/>
          </w:rPr>
          <w:t xml:space="preserve">1.</w:t>
        </w:r>
        <w:r>
          <w:tab/>
        </w:r>
        <w:r>
          <w:rPr>
            <w:rStyle w:val="1108"/>
          </w:rPr>
        </w:r>
        <w:r>
          <w:rPr>
            <w:rStyle w:val="1108"/>
          </w:rPr>
          <w:t xml:space="preserve">SO 03 – OPLOCENÍ, ZPEVNĚNÉ PLOCHY, TERÉNNÍ ÚPRAVY, TRUBNÍ VEDENÍ</w:t>
        </w:r>
        <w:r>
          <w:rPr>
            <w:rStyle w:val="1108"/>
          </w:rPr>
        </w:r>
        <w:r>
          <w:tab/>
        </w:r>
        <w:r>
          <w:fldChar w:fldCharType="begin"/>
          <w:instrText xml:space="preserve">PAGEREF _Toc200920514 \h</w:instrText>
          <w:fldChar w:fldCharType="separate"/>
          <w:t xml:space="preserve">2</w:t>
          <w:fldChar w:fldCharType="end"/>
        </w:r>
      </w:hyperlink>
      <w:r/>
    </w:p>
    <w:p w14:paraId="456B2709">
      <w:pPr>
        <w:pStyle w:val="1062"/>
        <w:pBdr/>
        <w:tabs>
          <w:tab w:val="clear" w:leader="none" w:pos="567"/>
          <w:tab w:val="left" w:leader="none" w:pos="1134"/>
          <w:tab w:val="right" w:leader="dot" w:pos="9355"/>
        </w:tabs>
        <w:spacing/>
        <w:ind/>
        <w:rPr/>
      </w:pPr>
      <w:hyperlink w:tooltip="#_Toc200920515" w:anchor="_Toc200920515" w:history="1">
        <w:r>
          <w:rPr>
            <w:rFonts w:ascii="Arial" w:hAnsi="Arial" w:eastAsia="Times New Roman" w:cs="Times New Roman"/>
          </w:rPr>
          <w:t xml:space="preserve">1.1.</w:t>
        </w:r>
        <w:r>
          <w:tab/>
        </w:r>
        <w:r>
          <w:rPr>
            <w:rStyle w:val="1108"/>
          </w:rPr>
        </w:r>
        <w:r>
          <w:rPr>
            <w:rStyle w:val="1108"/>
          </w:rPr>
          <w:t xml:space="preserve">PŘÍSTUPOVÝ CHODNÍK</w:t>
        </w:r>
        <w:r>
          <w:rPr>
            <w:rStyle w:val="1108"/>
          </w:rPr>
        </w:r>
        <w:r>
          <w:tab/>
        </w:r>
        <w:r>
          <w:fldChar w:fldCharType="begin"/>
          <w:instrText xml:space="preserve">PAGEREF _Toc200920515 \h</w:instrText>
          <w:fldChar w:fldCharType="separate"/>
          <w:t xml:space="preserve">2</w:t>
          <w:fldChar w:fldCharType="end"/>
        </w:r>
      </w:hyperlink>
      <w:r/>
    </w:p>
    <w:p w14:paraId="4D53AFC2">
      <w:pPr>
        <w:pStyle w:val="1062"/>
        <w:pBdr/>
        <w:tabs>
          <w:tab w:val="clear" w:leader="none" w:pos="567"/>
          <w:tab w:val="left" w:leader="none" w:pos="1134"/>
          <w:tab w:val="right" w:leader="dot" w:pos="9355"/>
        </w:tabs>
        <w:spacing/>
        <w:ind/>
        <w:rPr/>
      </w:pPr>
      <w:hyperlink w:tooltip="#_Toc200920516" w:anchor="_Toc200920516" w:history="1">
        <w:r>
          <w:rPr>
            <w:rFonts w:ascii="Arial" w:hAnsi="Arial" w:eastAsia="Times New Roman" w:cs="Times New Roman"/>
          </w:rPr>
          <w:t xml:space="preserve">1.2.</w:t>
        </w:r>
        <w:r>
          <w:tab/>
        </w:r>
        <w:r>
          <w:rPr>
            <w:rStyle w:val="1108"/>
          </w:rPr>
        </w:r>
        <w:r>
          <w:rPr>
            <w:rStyle w:val="1108"/>
          </w:rPr>
          <w:t xml:space="preserve">OPLOCENÍ</w:t>
        </w:r>
        <w:r>
          <w:rPr>
            <w:rStyle w:val="1108"/>
          </w:rPr>
        </w:r>
        <w:r>
          <w:tab/>
        </w:r>
        <w:r>
          <w:fldChar w:fldCharType="begin"/>
          <w:instrText xml:space="preserve">PAGEREF _Toc200920516 \h</w:instrText>
          <w:fldChar w:fldCharType="separate"/>
          <w:t xml:space="preserve">2</w:t>
          <w:fldChar w:fldCharType="end"/>
        </w:r>
      </w:hyperlink>
      <w:r/>
    </w:p>
    <w:p w14:paraId="208B1B51">
      <w:pPr>
        <w:pStyle w:val="1062"/>
        <w:pBdr/>
        <w:tabs>
          <w:tab w:val="clear" w:leader="none" w:pos="567"/>
          <w:tab w:val="left" w:leader="none" w:pos="1134"/>
          <w:tab w:val="right" w:leader="dot" w:pos="9355"/>
        </w:tabs>
        <w:spacing/>
        <w:ind/>
        <w:rPr/>
      </w:pPr>
      <w:hyperlink w:tooltip="#_Toc200920517" w:anchor="_Toc200920517" w:history="1">
        <w:r>
          <w:rPr>
            <w:rFonts w:ascii="Arial" w:hAnsi="Arial" w:eastAsia="Times New Roman" w:cs="Times New Roman"/>
          </w:rPr>
          <w:t xml:space="preserve">1.3.</w:t>
        </w:r>
        <w:r>
          <w:tab/>
        </w:r>
        <w:r>
          <w:rPr>
            <w:rStyle w:val="1108"/>
          </w:rPr>
        </w:r>
        <w:r>
          <w:rPr>
            <w:rStyle w:val="1108"/>
          </w:rPr>
          <w:t xml:space="preserve">TERÉNNÍ ÚPRAVY</w:t>
        </w:r>
        <w:r>
          <w:rPr>
            <w:rStyle w:val="1108"/>
          </w:rPr>
        </w:r>
        <w:r>
          <w:tab/>
        </w:r>
        <w:r>
          <w:fldChar w:fldCharType="begin"/>
          <w:instrText xml:space="preserve">PAGEREF _Toc200920517 \h</w:instrText>
          <w:fldChar w:fldCharType="separate"/>
          <w:t xml:space="preserve">2</w:t>
          <w:fldChar w:fldCharType="end"/>
        </w:r>
      </w:hyperlink>
      <w:r/>
    </w:p>
    <w:p w14:paraId="555F0371">
      <w:pPr>
        <w:pStyle w:val="1062"/>
        <w:pBdr/>
        <w:tabs>
          <w:tab w:val="clear" w:leader="none" w:pos="567"/>
          <w:tab w:val="left" w:leader="none" w:pos="1134"/>
          <w:tab w:val="right" w:leader="dot" w:pos="9355"/>
        </w:tabs>
        <w:spacing/>
        <w:ind/>
        <w:rPr/>
      </w:pPr>
      <w:hyperlink w:tooltip="#_Toc200920518" w:anchor="_Toc200920518" w:history="1">
        <w:r>
          <w:rPr>
            <w:rFonts w:ascii="Arial" w:hAnsi="Arial" w:eastAsia="Times New Roman" w:cs="Times New Roman"/>
          </w:rPr>
          <w:t xml:space="preserve">1.4.</w:t>
        </w:r>
        <w:r>
          <w:tab/>
        </w:r>
        <w:r>
          <w:rPr>
            <w:rStyle w:val="1108"/>
          </w:rPr>
        </w:r>
        <w:r>
          <w:rPr>
            <w:rStyle w:val="1108"/>
          </w:rPr>
          <w:t xml:space="preserve">TRUBNÍ VEDENÍ</w:t>
        </w:r>
        <w:r>
          <w:rPr>
            <w:rStyle w:val="1108"/>
          </w:rPr>
        </w:r>
        <w:r>
          <w:tab/>
        </w:r>
        <w:r>
          <w:fldChar w:fldCharType="begin"/>
          <w:instrText xml:space="preserve">PAGEREF _Toc200920518 \h</w:instrText>
          <w:fldChar w:fldCharType="separate"/>
          <w:t xml:space="preserve">2</w:t>
          <w:fldChar w:fldCharType="end"/>
        </w:r>
      </w:hyperlink>
      <w:r/>
    </w:p>
    <w:p w14:paraId="1555ABC1">
      <w:pPr>
        <w:pStyle w:val="1061"/>
        <w:pBdr/>
        <w:tabs>
          <w:tab w:val="left" w:leader="none" w:pos="567"/>
          <w:tab w:val="clear" w:leader="none" w:pos="567"/>
          <w:tab w:val="right" w:leader="dot" w:pos="9355"/>
        </w:tabs>
        <w:spacing/>
        <w:ind/>
        <w:rPr/>
      </w:pPr>
      <w:hyperlink w:tooltip="#_Toc200920519" w:anchor="_Toc200920519" w:history="1">
        <w:r>
          <w:rPr>
            <w:rFonts w:ascii="Arial" w:hAnsi="Arial" w:eastAsia="Times New Roman" w:cs="Times New Roman"/>
          </w:rPr>
          <w:t xml:space="preserve">2.</w:t>
        </w:r>
        <w:r>
          <w:tab/>
        </w:r>
        <w:r>
          <w:rPr>
            <w:rStyle w:val="1108"/>
          </w:rPr>
        </w:r>
        <w:r>
          <w:rPr>
            <w:rStyle w:val="1108"/>
          </w:rPr>
          <w:t xml:space="preserve">POŽADAVKY NA POSTUP STAVEBNÍCH A MONTÁŽNÍCH PRACÍ</w:t>
        </w:r>
        <w:r>
          <w:rPr>
            <w:rStyle w:val="1108"/>
          </w:rPr>
        </w:r>
        <w:r>
          <w:tab/>
        </w:r>
        <w:r>
          <w:fldChar w:fldCharType="begin"/>
          <w:instrText xml:space="preserve">PAGEREF _Toc200920519 \h</w:instrText>
          <w:fldChar w:fldCharType="separate"/>
          <w:t xml:space="preserve">3</w:t>
          <w:fldChar w:fldCharType="end"/>
        </w:r>
      </w:hyperlink>
      <w:r/>
    </w:p>
    <w:p w14:paraId="3FB9D9FF">
      <w:pPr>
        <w:pStyle w:val="1062"/>
        <w:pBdr/>
        <w:tabs>
          <w:tab w:val="clear" w:leader="none" w:pos="567"/>
          <w:tab w:val="left" w:leader="none" w:pos="1134"/>
          <w:tab w:val="right" w:leader="dot" w:pos="9355"/>
        </w:tabs>
        <w:spacing/>
        <w:ind/>
        <w:rPr/>
      </w:pPr>
      <w:hyperlink w:tooltip="#_Toc200920520" w:anchor="_Toc200920520" w:history="1">
        <w:r>
          <w:rPr>
            <w:rFonts w:ascii="Arial" w:hAnsi="Arial" w:eastAsia="Times New Roman" w:cs="Times New Roman"/>
          </w:rPr>
          <w:t xml:space="preserve">2.1.</w:t>
        </w:r>
        <w:r>
          <w:tab/>
        </w:r>
        <w:r>
          <w:rPr>
            <w:rStyle w:val="1108"/>
          </w:rPr>
        </w:r>
        <w:r>
          <w:rPr>
            <w:rStyle w:val="1108"/>
          </w:rPr>
          <w:t xml:space="preserve">POPIS PŘÍPRAVNÝCH, SOUVISEJÍCÍCH A DOKONČUJÍCÍCH PRACÍ</w:t>
        </w:r>
        <w:r>
          <w:rPr>
            <w:rStyle w:val="1108"/>
          </w:rPr>
          <w:t xml:space="preserve"> </w:t>
        </w:r>
        <w:r>
          <w:rPr>
            <w:rStyle w:val="1108"/>
          </w:rPr>
        </w:r>
        <w:r>
          <w:tab/>
        </w:r>
        <w:r>
          <w:fldChar w:fldCharType="begin"/>
          <w:instrText xml:space="preserve">PAGEREF _Toc200920520 \h</w:instrText>
          <w:fldChar w:fldCharType="separate"/>
          <w:t xml:space="preserve">3</w:t>
          <w:fldChar w:fldCharType="end"/>
        </w:r>
      </w:hyperlink>
      <w:r/>
    </w:p>
    <w:p w14:paraId="596195E7">
      <w:pPr>
        <w:pStyle w:val="1073"/>
        <w:pBdr/>
        <w:spacing w:line="276" w:lineRule="auto"/>
        <w:ind/>
        <w:rPr/>
      </w:pPr>
      <w:r/>
      <w:r>
        <w:rPr>
          <w:b/>
          <w:bCs/>
        </w:rPr>
        <w:fldChar w:fldCharType="end"/>
      </w:r>
      <w:r/>
      <w:r/>
    </w:p>
    <w:p>
      <w:pPr>
        <w:pStyle w:val="1073"/>
        <w:pBdr/>
        <w:spacing w:line="276" w:lineRule="auto"/>
        <w:ind/>
        <w:rPr/>
      </w:pPr>
      <w:r/>
      <w:r/>
    </w:p>
    <w:p>
      <w:pPr>
        <w:pStyle w:val="1073"/>
        <w:pBdr/>
        <w:spacing w:line="276" w:lineRule="auto"/>
        <w:ind/>
        <w:rPr/>
      </w:pPr>
      <w:r/>
      <w:r/>
    </w:p>
    <w:p>
      <w:pPr>
        <w:pStyle w:val="1073"/>
        <w:pBdr/>
        <w:spacing w:line="276" w:lineRule="auto"/>
        <w:ind/>
        <w:jc w:val="left"/>
        <w:rPr/>
      </w:pPr>
      <w:r/>
      <w:r/>
    </w:p>
    <w:p>
      <w:pPr>
        <w:pStyle w:val="1073"/>
        <w:pBdr/>
        <w:spacing w:line="276" w:lineRule="auto"/>
        <w:ind/>
        <w:jc w:val="left"/>
        <w:rPr/>
      </w:pPr>
      <w:r/>
      <w:r/>
    </w:p>
    <w:p>
      <w:pPr>
        <w:pStyle w:val="1073"/>
        <w:pBdr/>
        <w:spacing w:line="276" w:lineRule="auto"/>
        <w:ind/>
        <w:jc w:val="left"/>
        <w:rPr/>
      </w:pPr>
      <w:r/>
      <w:r/>
    </w:p>
    <w:p>
      <w:pPr>
        <w:pStyle w:val="1073"/>
        <w:pBdr/>
        <w:spacing w:line="276" w:lineRule="auto"/>
        <w:ind/>
        <w:jc w:val="left"/>
        <w:rPr/>
      </w:pPr>
      <w:r/>
      <w:r/>
    </w:p>
    <w:p>
      <w:pPr>
        <w:pStyle w:val="1073"/>
        <w:pBdr/>
        <w:spacing w:line="276" w:lineRule="auto"/>
        <w:ind/>
        <w:jc w:val="left"/>
        <w:rPr/>
      </w:pPr>
      <w:r/>
      <w:r/>
    </w:p>
    <w:p>
      <w:pPr>
        <w:pStyle w:val="1073"/>
        <w:pBdr/>
        <w:spacing w:line="276" w:lineRule="auto"/>
        <w:ind/>
        <w:jc w:val="left"/>
        <w:rPr/>
      </w:pPr>
      <w:r/>
      <w:r/>
    </w:p>
    <w:p>
      <w:pPr>
        <w:pStyle w:val="1073"/>
        <w:pBdr/>
        <w:spacing w:line="276" w:lineRule="auto"/>
        <w:ind/>
        <w:jc w:val="left"/>
        <w:rPr/>
      </w:pPr>
      <w:r/>
      <w:r/>
    </w:p>
    <w:p>
      <w:pPr>
        <w:pStyle w:val="1073"/>
        <w:pBdr/>
        <w:spacing w:line="276" w:lineRule="auto"/>
        <w:ind/>
        <w:jc w:val="left"/>
        <w:rPr/>
      </w:pPr>
      <w:r/>
      <w:r/>
    </w:p>
    <w:p>
      <w:pPr>
        <w:pStyle w:val="1073"/>
        <w:pBdr/>
        <w:spacing w:line="276" w:lineRule="auto"/>
        <w:ind/>
        <w:jc w:val="left"/>
        <w:rPr/>
      </w:pPr>
      <w:r/>
      <w:r/>
    </w:p>
    <w:p>
      <w:pPr>
        <w:pStyle w:val="1073"/>
        <w:pBdr/>
        <w:spacing w:line="276" w:lineRule="auto"/>
        <w:ind/>
        <w:jc w:val="left"/>
        <w:rPr/>
      </w:pPr>
      <w:r/>
      <w:r/>
    </w:p>
    <w:p w14:paraId="06755B80">
      <w:pPr>
        <w:pStyle w:val="1073"/>
        <w:pBdr/>
        <w:spacing w:line="276" w:lineRule="auto"/>
        <w:ind/>
        <w:jc w:val="left"/>
        <w:rPr/>
      </w:pPr>
      <w:r/>
      <w:r/>
      <w:r/>
    </w:p>
    <w:p w14:paraId="19E84854">
      <w:pPr>
        <w:pStyle w:val="1073"/>
        <w:pBdr/>
        <w:spacing w:line="276" w:lineRule="auto"/>
        <w:ind/>
        <w:jc w:val="left"/>
        <w:rPr/>
      </w:pPr>
      <w:r/>
      <w:r/>
      <w:r/>
    </w:p>
    <w:p w14:paraId="67570DF1">
      <w:pPr>
        <w:pStyle w:val="1073"/>
        <w:pBdr/>
        <w:spacing w:line="276" w:lineRule="auto"/>
        <w:ind/>
        <w:jc w:val="left"/>
        <w:rPr/>
      </w:pPr>
      <w:r/>
      <w:r/>
      <w:r/>
    </w:p>
    <w:p>
      <w:pPr>
        <w:pStyle w:val="1073"/>
        <w:pBdr/>
        <w:spacing w:line="276" w:lineRule="auto"/>
        <w:ind/>
        <w:jc w:val="left"/>
        <w:rPr/>
      </w:pPr>
      <w:r/>
      <w:r/>
    </w:p>
    <w:p>
      <w:pPr>
        <w:pStyle w:val="1074"/>
        <w:pBdr/>
        <w:spacing w:after="0" w:line="276" w:lineRule="auto"/>
        <w:ind/>
        <w:rPr/>
      </w:pPr>
      <w:r/>
      <w:bookmarkStart w:id="15" w:name="_Toc200920514"/>
      <w:r/>
      <w:bookmarkStart w:id="14" w:name="_Toc200920513"/>
      <w:r>
        <w:t xml:space="preserve">SO 03 – OPLOCENÍ, ZPEVNĚNÉ PLOCHY, TERÉNNÍ ÚPRAVY, TRUBNÍ VEDENÍ</w:t>
      </w:r>
      <w:r/>
      <w:bookmarkEnd w:id="15"/>
      <w:r/>
      <w:r/>
    </w:p>
    <w:p w14:paraId="73B4E54C">
      <w:pPr>
        <w:pBdr/>
        <w:spacing w:line="276" w:lineRule="auto"/>
        <w:ind/>
        <w:rPr>
          <w:highlight w:val="none"/>
        </w:rPr>
      </w:pPr>
      <w:r>
        <w:tab/>
        <w:t xml:space="preserve">Součástí tohoto stavebního objektu je oplocení, zpevněné plochy, terénní úpravy a trubní vedení v areálu ČOV.</w:t>
      </w: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 w14:paraId="5844EE18">
      <w:pPr>
        <w:pBdr/>
        <w:spacing w:line="276" w:lineRule="auto"/>
        <w:ind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 w14:paraId="36F48524">
      <w:pPr>
        <w:pStyle w:val="1075"/>
        <w:pBdr/>
        <w:spacing w:line="276" w:lineRule="auto"/>
        <w:ind/>
        <w:rPr/>
      </w:pPr>
      <w:r/>
      <w:bookmarkStart w:id="16" w:name="_Toc200920515"/>
      <w:r>
        <w:t xml:space="preserve">PŘÍSTUPOVÝ CHODNÍK</w:t>
      </w:r>
      <w:r/>
      <w:bookmarkEnd w:id="16"/>
      <w:r/>
      <w:r/>
    </w:p>
    <w:p w14:paraId="35E6ED52">
      <w:pPr>
        <w:pBdr/>
        <w:spacing w:line="276" w:lineRule="auto"/>
        <w:ind/>
        <w:rPr>
          <w:highlight w:val="none"/>
        </w:rPr>
      </w:pPr>
      <w:r/>
      <w:r>
        <w:tab/>
        <w:t xml:space="preserve">Ve stávajícím areálu objektu ČOV je vybudována zpevněná plocha, která zůstane ponechána. Nově bude vybudovaný pouze přístupový chodník mezi stávajícím objektem ČOV (SO 04) a novou budovou ČOV (SO 02 – Nová budova ČOV). Chodník bude navazovat na stávající zpevněnou plochu. </w:t>
      </w:r>
      <w:r>
        <w:rPr>
          <w:highlight w:val="none"/>
        </w:rPr>
        <w:t xml:space="preserve">Přístupový chodník bude vybudován ze zámkové dlažby tl. 60 mm, bude uložena do kladecí vrstvy tl. 30 mm, na podkladu tl. 150 mm ze štěrkodrti frakce 0-63. Zámková dlažba bude osazena do zahradních obrub o rozměru 50/200/1000. Celková plocha přístupové chodníku je 25m2. </w:t>
      </w: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  <w:t xml:space="preserve">Detailně je přístupový chodník řešen v příslušné výkresové příloze. </w:t>
      </w:r>
      <w:r>
        <w:rPr>
          <w:highlight w:val="none"/>
        </w:rPr>
      </w:r>
    </w:p>
    <w:p w14:paraId="5B96F696">
      <w:pPr>
        <w:pStyle w:val="1075"/>
        <w:pBdr/>
        <w:spacing w:line="276" w:lineRule="auto"/>
        <w:ind/>
        <w:rPr/>
      </w:pPr>
      <w:r/>
      <w:bookmarkStart w:id="17" w:name="_Toc200920516"/>
      <w:r>
        <w:t xml:space="preserve">oplocení</w:t>
      </w:r>
      <w:r/>
      <w:bookmarkEnd w:id="17"/>
      <w:r/>
      <w:r/>
    </w:p>
    <w:p w14:paraId="55249AF1">
      <w:pPr>
        <w:pBdr/>
        <w:spacing w:line="276" w:lineRule="auto"/>
        <w:ind/>
        <w:rPr>
          <w:highlight w:val="none"/>
        </w:rPr>
      </w:pPr>
      <w:r/>
      <w:r>
        <w:tab/>
        <w:t xml:space="preserve">Stávající areál objektu ČOV je oplocen. Stávající oplocení bude ponecháno a bude vybudován nový úsek oplocení dle rozšíření areálu ČOV. který bude navazovat na stávající oplocení. Oplocení bude dvojího typu vzhledem ke stávajícím VVN vedení. Na západní a severní straně areálu ČOV bude oplocení vybudováno z nekovového oplocení – z důvodu ochranného pásma VVN. Oplocení bude dřevené na betonové podezdívce. Celková délka oplocení bude 25,1m. </w:t>
      </w:r>
      <w:r>
        <w:rPr>
          <w:highlight w:val="none"/>
        </w:rPr>
      </w:r>
    </w:p>
    <w:p w14:paraId="656009C6">
      <w:pPr>
        <w:pBdr/>
        <w:spacing w:line="276" w:lineRule="auto"/>
        <w:ind/>
        <w:rPr>
          <w:highlight w:val="none"/>
        </w:rPr>
      </w:pPr>
      <w:r>
        <w:rPr>
          <w:highlight w:val="none"/>
        </w:rPr>
        <w:t xml:space="preserve">Na jižní a východní straně areálu objektu ČOV bude oplocení řešení jako poplastované pletivo s ocelovými sloupky na podhrabové desce. Celková délka poplastovaného oplocení je 44?93 m. Výška oplocení je 1,8m. </w:t>
      </w:r>
      <w:r>
        <w:rPr>
          <w:highlight w:val="none"/>
        </w:rPr>
        <w:t xml:space="preserve">Stávající vjezdová vrata se vstupní brankou zůstanou ponechána. </w:t>
      </w:r>
      <w:r>
        <w:rPr>
          <w:highlight w:val="none"/>
        </w:rPr>
      </w:r>
    </w:p>
    <w:p w14:paraId="5B96F696">
      <w:pPr>
        <w:pStyle w:val="1075"/>
        <w:pBdr/>
        <w:spacing w:line="276" w:lineRule="auto"/>
        <w:ind/>
        <w:rPr/>
      </w:pPr>
      <w:r/>
      <w:bookmarkStart w:id="18" w:name="_Toc200920517"/>
      <w:r>
        <w:t xml:space="preserve">TERÉNNÍ ÚPRAVY</w:t>
      </w:r>
      <w:r/>
      <w:bookmarkEnd w:id="18"/>
      <w:r/>
      <w:r/>
    </w:p>
    <w:p w14:paraId="57A9A397">
      <w:pPr>
        <w:pBdr/>
        <w:spacing w:line="276" w:lineRule="auto"/>
        <w:ind/>
        <w:rPr>
          <w:highlight w:val="none"/>
        </w:rPr>
      </w:pPr>
      <w:r/>
      <w:r>
        <w:tab/>
        <w:t xml:space="preserve">Terénní úpravy ve stávajícím areálu objektu ČOV budou spočívat ve vybudování náspu a zarovnání terénu podél nově navrženého stavebního objektu SO 02 – nová budova ČOV. Jako materiál na zarovnání a náspy bude využit materiál z výkopu pro nádrže nové ČOV. Sklony svahů budou proměnlivé – od 1:2 do 1.3. Svah bude urovnán a ohumusován vrstvou tl. 150 mm</w:t>
      </w:r>
      <w:r>
        <w:rPr>
          <w:highlight w:val="none"/>
        </w:rPr>
      </w:r>
      <w:r>
        <w:rPr>
          <w:highlight w:val="none"/>
        </w:rPr>
        <w:t xml:space="preserve"> </w:t>
      </w:r>
      <w:r>
        <w:rPr>
          <w:highlight w:val="none"/>
        </w:rPr>
        <w:t xml:space="preserve">orničních, event. Podorničních vrstev a následně bude oset travním semenem. </w:t>
      </w: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 w14:paraId="1DC3E705">
      <w:pPr>
        <w:pStyle w:val="1075"/>
        <w:pBdr/>
        <w:spacing w:line="276" w:lineRule="auto"/>
        <w:ind/>
        <w:rPr/>
      </w:pPr>
      <w:r/>
      <w:bookmarkStart w:id="19" w:name="_Toc200920518"/>
      <w:r>
        <w:t xml:space="preserve">Trubní vedení</w:t>
      </w:r>
      <w:r/>
      <w:bookmarkEnd w:id="19"/>
      <w:r/>
      <w:r/>
    </w:p>
    <w:p w14:paraId="351077F3">
      <w:pPr>
        <w:pBdr/>
        <w:spacing w:line="276" w:lineRule="auto"/>
        <w:ind/>
        <w:rPr>
          <w:highlight w:val="none"/>
        </w:rPr>
      </w:pPr>
      <w:r/>
      <w:r>
        <w:tab/>
        <w:t xml:space="preserve">Stávající elektro přípojka do stávajícího objektu bude ponechána. Elektrické kabely jsou rozvedeny novou elektropřípojkou ze stávajícího rozvaděče do nově nevyrženého stavebního objektu SO 01 – kalolisovna a SO 02 – nová budova ČOV. Elektrické kabely jsou přivedeny za účelem osvětlení, chodu a správné funkce strojní technologie a přenosu dat na dispečink provozovatele. Stávající trubní vedení v areálu zůstanou ponechány. Nově přibude v budoucnu nové napojení na stávající přítok na objekt ČOV – nový výtlak ze Solopisk. </w:t>
      </w:r>
      <w:r>
        <w:rPr>
          <w:highlight w:val="none"/>
        </w:rPr>
        <w:t xml:space="preserve">Nově budou vybudovány trubní rozvody a propoje mezi stávajícím objektem ČOV a novou budovou ČOV. Detailně jsou tyto potrubí řešeny ve strojně – technologické části této projektové dokumentace a dalších dílčích příslušných výkresových přílohách. </w:t>
      </w:r>
      <w:r>
        <w:rPr>
          <w:highlight w:val="none"/>
        </w:rPr>
      </w:r>
    </w:p>
    <w:p w14:paraId="112BA954">
      <w:pPr>
        <w:pBdr/>
        <w:spacing w:line="276" w:lineRule="auto"/>
        <w:ind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 w14:paraId="373BCF5A">
      <w:pPr>
        <w:pBdr/>
        <w:spacing w:line="276" w:lineRule="auto"/>
        <w:ind/>
        <w:rPr/>
      </w:pPr>
      <w:r>
        <w:rPr>
          <w:highlight w:val="none"/>
        </w:rPr>
        <w:tab/>
        <w:t xml:space="preserve">Dešťová voda ze střechy objektu nové kalolisovny bude odváděna do stávajícího odvodňovacího žlabu u svahu, severně od oplocení stávajícího objektu ČOV. Ze střechy nového objektu ČOV bude dešťová voda svedena ležatými svody PVC DN125 podél budovy do nového v</w:t>
      </w:r>
      <w:r>
        <w:rPr>
          <w:highlight w:val="none"/>
        </w:rPr>
        <w:t xml:space="preserve">sakovacího drénu pod náspem objektu ČOV. Jedná se o přítok max. 2,4 l/s a to po dobu srážky 15 minut. Objem návrhové srážky je 2,16 m3.</w:t>
      </w:r>
      <w:r>
        <w:rPr>
          <w:highlight w:val="none"/>
        </w:rPr>
      </w:r>
    </w:p>
    <w:p w14:paraId="3F0BE11E">
      <w:pPr>
        <w:pBdr/>
        <w:spacing w:line="276" w:lineRule="auto"/>
        <w:ind/>
        <w:rPr/>
      </w:pPr>
      <w:r>
        <w:rPr>
          <w:highlight w:val="none"/>
        </w:rPr>
        <w:t xml:space="preserve">Objem vsakovacího drénu je vyplněn 10 m3 hrubého štěrku fr. 125 mm a více. Rozměry vsakovacího drénu jsou dl. 10 m, hl. 1,0 m, šířka rýhy je 1,0 m. Kamenivo ve vsakovacím drénu bude obaleno geotextilií – 300g/m2. Mezerovitost bude min. 25%, retenční objem r</w:t>
      </w:r>
      <w:r>
        <w:rPr>
          <w:highlight w:val="none"/>
        </w:rPr>
        <w:t xml:space="preserve">ýhy je 2,5 m3. </w:t>
      </w:r>
      <w:r>
        <w:rPr>
          <w:highlight w:val="none"/>
        </w:rPr>
      </w:r>
    </w:p>
    <w:p w14:paraId="451EC262">
      <w:pPr>
        <w:pBdr/>
        <w:spacing w:line="276" w:lineRule="auto"/>
        <w:ind/>
        <w:rPr>
          <w:highlight w:val="none"/>
        </w:rPr>
      </w:pPr>
      <w:r>
        <w:rPr>
          <w:highlight w:val="none"/>
        </w:rPr>
        <w:tab/>
        <w:t xml:space="preserve">Spočtená doba vsaku je pro dané zařízení při odhadu koeficientu propustnosti k=5 x10-6  cca 71,5 hodin, to jest méně nežli požadovaných 72 hodin. V případě extrémní srážky dojde k přeronu z drénu do přilehlé louky pod ČOV (viz elaborát RNDr. Tomáše Vrány). </w:t>
      </w: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74"/>
        <w:pBdr/>
        <w:spacing w:line="276" w:lineRule="auto"/>
        <w:ind/>
        <w:rPr/>
      </w:pPr>
      <w:r/>
      <w:bookmarkStart w:id="20" w:name="_Toc200920519"/>
      <w:r/>
      <w:r>
        <w:t xml:space="preserve">požadavky na postup stavebních a montážních prací</w:t>
      </w:r>
      <w:r/>
      <w:bookmarkEnd w:id="20"/>
      <w:r/>
      <w:r/>
    </w:p>
    <w:p>
      <w:pPr>
        <w:pStyle w:val="1073"/>
        <w:pBdr/>
        <w:spacing w:line="276" w:lineRule="auto"/>
        <w:ind/>
        <w:rPr/>
      </w:pPr>
      <w:r>
        <w:tab/>
        <w:t xml:space="preserve">Požadavky na postup stavebních a montážních prací respektují nařízení vlády</w:t>
      </w:r>
      <w:r/>
    </w:p>
    <w:p>
      <w:pPr>
        <w:pStyle w:val="1073"/>
        <w:pBdr/>
        <w:spacing w:line="276" w:lineRule="auto"/>
        <w:ind/>
        <w:rPr/>
      </w:pPr>
      <w:r>
        <w:t xml:space="preserve"> č. 591/2006 Sb., které nabylo účinnosti dne 1. ledna 2007, a které stanoví bližší minimální pož</w:t>
      </w:r>
      <w:r>
        <w:t xml:space="preserve">a</w:t>
      </w:r>
      <w:r>
        <w:t xml:space="preserve">davky na be</w:t>
      </w:r>
      <w:r>
        <w:t xml:space="preserve">z</w:t>
      </w:r>
      <w:r>
        <w:t xml:space="preserve">pečnost a ochranu zdraví při práci na staveništích, příloha č. 3.</w:t>
      </w:r>
      <w:r/>
    </w:p>
    <w:p>
      <w:pPr>
        <w:pStyle w:val="1073"/>
        <w:pBdr/>
        <w:spacing w:line="276" w:lineRule="auto"/>
        <w:ind/>
        <w:rPr/>
      </w:pPr>
      <w:r>
        <w:tab/>
        <w:t xml:space="preserve">Stavba nemá žádné speciální nároky na postup stavebních prací. Stavební práce budou prob</w:t>
      </w:r>
      <w:r>
        <w:t xml:space="preserve">í</w:t>
      </w:r>
      <w:r>
        <w:t xml:space="preserve">hat dle běžných zvyklostí, tzn. práce HSV, PSV a terénní úpravy.</w:t>
      </w:r>
      <w:r/>
    </w:p>
    <w:p>
      <w:pPr>
        <w:pStyle w:val="1073"/>
        <w:pBdr/>
        <w:spacing w:line="276" w:lineRule="auto"/>
        <w:ind/>
        <w:rPr/>
      </w:pPr>
      <w:r>
        <w:t xml:space="preserve">Pro provádění montážních prací bude zpracován technologický postup montáže s u</w:t>
      </w:r>
      <w:r>
        <w:t xml:space="preserve">r</w:t>
      </w:r>
      <w:r>
        <w:t xml:space="preserve">čením</w:t>
      </w:r>
      <w:r/>
    </w:p>
    <w:p>
      <w:pPr>
        <w:pStyle w:val="1073"/>
        <w:pBdr/>
        <w:spacing w:line="276" w:lineRule="auto"/>
        <w:ind/>
        <w:rPr/>
      </w:pPr>
      <w:r>
        <w:t xml:space="preserve">podmínek pro nasazení a pohyb mechanizačních prostředků, zabezpečení dotčených pracovišť a zajištění pracovníků proti pádu z výšky.</w:t>
      </w:r>
      <w:r/>
    </w:p>
    <w:p>
      <w:pPr>
        <w:pStyle w:val="1073"/>
        <w:pBdr/>
        <w:spacing w:line="276" w:lineRule="auto"/>
        <w:ind/>
        <w:rPr/>
      </w:pPr>
      <w:r>
        <w:rPr>
          <w:b/>
        </w:rPr>
        <w:t xml:space="preserve">Před zahájením stavby musí investor zajistit vytýčení všech podzemních investic, aby n</w:t>
      </w:r>
      <w:r>
        <w:rPr>
          <w:b/>
        </w:rPr>
        <w:t xml:space="preserve">e</w:t>
      </w:r>
      <w:r>
        <w:rPr>
          <w:b/>
        </w:rPr>
        <w:t xml:space="preserve">došlo k jejich poškození,</w:t>
      </w:r>
      <w:r>
        <w:t xml:space="preserve"> zejména energetických a komunikačních vedení, vodovodní sítě, v mí</w:t>
      </w:r>
      <w:r>
        <w:t xml:space="preserve">s</w:t>
      </w:r>
      <w:r>
        <w:t xml:space="preserve">tě jejich střetu se stavbou, popřípadě jiné podzemní a nadzemní překážky nacházející se na st</w:t>
      </w:r>
      <w:r>
        <w:t xml:space="preserve">a</w:t>
      </w:r>
      <w:r>
        <w:t xml:space="preserve">veništi.</w:t>
      </w:r>
      <w:r/>
    </w:p>
    <w:p>
      <w:pPr>
        <w:pStyle w:val="1073"/>
        <w:pBdr/>
        <w:spacing w:line="276" w:lineRule="auto"/>
        <w:ind w:firstLine="708"/>
        <w:rPr/>
      </w:pPr>
      <w:r>
        <w:t xml:space="preserve">Před zahájením zemních prací musí být určeno rozmístění stavebních výkopů a jam a j</w:t>
      </w:r>
      <w:r>
        <w:t xml:space="preserve">e</w:t>
      </w:r>
      <w:r>
        <w:t xml:space="preserve">jich rozměry a určeny způsoby těžení zeminy, zajištění stěn výkopů proti sesutí, zejména druh </w:t>
      </w:r>
      <w:r/>
    </w:p>
    <w:p>
      <w:pPr>
        <w:pStyle w:val="1112"/>
        <w:pBdr/>
        <w:spacing w:line="276" w:lineRule="auto"/>
        <w:ind w:firstLine="708"/>
        <w:rPr>
          <w:sz w:val="22"/>
        </w:rPr>
      </w:pPr>
      <w:r>
        <w:rPr>
          <w:sz w:val="22"/>
        </w:rPr>
        <w:t xml:space="preserve">Veškeré výkopové práce v ochranných pásmech stávajících rozvodů se musí provádět ru</w:t>
      </w:r>
      <w:r>
        <w:rPr>
          <w:sz w:val="22"/>
        </w:rPr>
        <w:t xml:space="preserve">č</w:t>
      </w:r>
      <w:r>
        <w:rPr>
          <w:sz w:val="22"/>
        </w:rPr>
        <w:t xml:space="preserve">ně. Před jejich odkrytím je nutné uvědomit správce, zajistit ochranu proti porušení a jiným vnějším účinkům a řídit se jeho podmínkami.</w:t>
      </w:r>
      <w:r>
        <w:rPr>
          <w:sz w:val="22"/>
        </w:rPr>
      </w:r>
      <w:r>
        <w:rPr>
          <w:sz w:val="22"/>
        </w:rPr>
      </w:r>
    </w:p>
    <w:p>
      <w:pPr>
        <w:pStyle w:val="1075"/>
        <w:pBdr/>
        <w:spacing w:line="276" w:lineRule="auto"/>
        <w:ind/>
        <w:rPr/>
      </w:pPr>
      <w:r/>
      <w:bookmarkStart w:id="21" w:name="_Toc200920520"/>
      <w:r/>
      <w:r>
        <w:t xml:space="preserve">POPIS PŘÍPRAVNÝCH, SOUVISEJÍCÍCH A DOKONČUJÍCÍCH PRACÍ</w:t>
      </w:r>
      <w:r>
        <w:t xml:space="preserve"> </w:t>
      </w:r>
      <w:r/>
      <w:bookmarkEnd w:id="21"/>
      <w:r/>
      <w:r/>
    </w:p>
    <w:p>
      <w:pPr>
        <w:pStyle w:val="1073"/>
        <w:numPr>
          <w:ilvl w:val="0"/>
          <w:numId w:val="18"/>
        </w:numPr>
        <w:pBdr/>
        <w:spacing w:line="276" w:lineRule="auto"/>
        <w:ind/>
        <w:rPr/>
      </w:pPr>
      <w:r>
        <w:rPr>
          <w:i/>
          <w:u w:val="single"/>
        </w:rPr>
        <w:t xml:space="preserve">Vybudování, provozování a zrušení nutného zařízení stavenišť</w:t>
      </w:r>
      <w:r>
        <w:t xml:space="preserve"> </w:t>
      </w:r>
      <w:r/>
    </w:p>
    <w:p>
      <w:pPr>
        <w:pStyle w:val="1114"/>
        <w:pBdr/>
        <w:spacing w:line="276" w:lineRule="auto"/>
        <w:ind/>
        <w:rPr>
          <w:highlight w:val="none"/>
        </w:rPr>
      </w:pPr>
      <w:r>
        <w:tab/>
        <w:t xml:space="preserve">Uchazeč se obeznámí se situací stavby ohledně přísunu materiálu, vzdáleností, odvozu v</w:t>
      </w:r>
      <w:r>
        <w:t xml:space="preserve">y</w:t>
      </w:r>
      <w:r>
        <w:t xml:space="preserve">bouraného m</w:t>
      </w:r>
      <w:r>
        <w:t xml:space="preserve">a</w:t>
      </w:r>
      <w:r>
        <w:t xml:space="preserve">teriálu atd.</w:t>
      </w:r>
      <w:r>
        <w:rPr>
          <w:highlight w:val="none"/>
        </w:rPr>
      </w:r>
      <w:r>
        <w:rPr>
          <w:highlight w:val="none"/>
        </w:rPr>
      </w:r>
    </w:p>
    <w:p>
      <w:pPr>
        <w:pStyle w:val="1114"/>
        <w:pBdr/>
        <w:spacing w:line="276" w:lineRule="auto"/>
        <w:ind/>
        <w:rPr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073"/>
        <w:numPr>
          <w:ilvl w:val="0"/>
          <w:numId w:val="18"/>
        </w:numPr>
        <w:pBdr/>
        <w:spacing w:line="276" w:lineRule="auto"/>
        <w:ind/>
        <w:jc w:val="left"/>
        <w:rPr/>
      </w:pPr>
      <w:r>
        <w:rPr>
          <w:i/>
          <w:u w:val="single"/>
        </w:rPr>
        <w:t xml:space="preserve">Lešení</w:t>
      </w:r>
      <w:r>
        <w:t xml:space="preserve"> </w:t>
      </w:r>
      <w:r/>
    </w:p>
    <w:p>
      <w:pPr>
        <w:pStyle w:val="1114"/>
        <w:pBdr/>
        <w:spacing w:line="276" w:lineRule="auto"/>
        <w:ind/>
        <w:rPr>
          <w:highlight w:val="none"/>
        </w:rPr>
      </w:pPr>
      <w:r>
        <w:tab/>
        <w:t xml:space="preserve">montáž a demontáž celoplošného lešení po celou dobu stavby včetně nezbytných doplňků, jeho nezbytné přestavby, posuny a úpravy - vše v rozsahu nutném pro provedení díla</w:t>
      </w:r>
      <w:r>
        <w:rPr>
          <w:highlight w:val="none"/>
        </w:rPr>
      </w:r>
      <w:r>
        <w:rPr>
          <w:highlight w:val="none"/>
        </w:rPr>
      </w:r>
    </w:p>
    <w:p>
      <w:pPr>
        <w:pStyle w:val="1114"/>
        <w:pBdr/>
        <w:spacing w:line="276" w:lineRule="auto"/>
        <w:ind/>
        <w:rPr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073"/>
        <w:numPr>
          <w:ilvl w:val="0"/>
          <w:numId w:val="18"/>
        </w:numPr>
        <w:pBdr/>
        <w:spacing w:line="276" w:lineRule="auto"/>
        <w:ind/>
        <w:jc w:val="left"/>
        <w:rPr>
          <w:i/>
          <w:u w:val="single"/>
        </w:rPr>
      </w:pPr>
      <w:r>
        <w:rPr>
          <w:i/>
          <w:u w:val="single"/>
        </w:rPr>
        <w:t xml:space="preserve">Odpad</w:t>
      </w:r>
      <w:r>
        <w:rPr>
          <w:i/>
          <w:u w:val="single"/>
        </w:rPr>
      </w:r>
      <w:r>
        <w:rPr>
          <w:i/>
          <w:u w:val="single"/>
        </w:rPr>
      </w:r>
    </w:p>
    <w:p>
      <w:pPr>
        <w:pStyle w:val="1114"/>
        <w:pBdr/>
        <w:spacing w:line="276" w:lineRule="auto"/>
        <w:ind/>
        <w:rPr>
          <w:highlight w:val="none"/>
        </w:rPr>
      </w:pPr>
      <w:r>
        <w:tab/>
        <w:t xml:space="preserve">Odvoz a likvidace odpadu v souladu s platnou legislativou, zhotovitel předloží doklady o l</w:t>
      </w:r>
      <w:r>
        <w:t xml:space="preserve">i</w:t>
      </w:r>
      <w:r>
        <w:t xml:space="preserve">kvidaci odpadu</w:t>
      </w:r>
      <w:r>
        <w:rPr>
          <w:highlight w:val="none"/>
        </w:rPr>
      </w:r>
      <w:r>
        <w:rPr>
          <w:highlight w:val="none"/>
        </w:rPr>
      </w:r>
    </w:p>
    <w:p>
      <w:pPr>
        <w:pStyle w:val="1114"/>
        <w:pBdr/>
        <w:spacing w:line="276" w:lineRule="auto"/>
        <w:ind/>
        <w:rPr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073"/>
        <w:numPr>
          <w:ilvl w:val="0"/>
          <w:numId w:val="18"/>
        </w:numPr>
        <w:pBdr/>
        <w:spacing w:line="276" w:lineRule="auto"/>
        <w:ind/>
        <w:jc w:val="left"/>
        <w:rPr/>
      </w:pPr>
      <w:r>
        <w:rPr>
          <w:i/>
          <w:u w:val="single"/>
        </w:rPr>
        <w:t xml:space="preserve">Uvedení do původního stavu</w:t>
      </w:r>
      <w:r>
        <w:t xml:space="preserve"> </w:t>
      </w:r>
      <w:r/>
    </w:p>
    <w:p>
      <w:pPr>
        <w:pStyle w:val="1073"/>
        <w:pBdr/>
        <w:spacing w:line="276" w:lineRule="auto"/>
        <w:ind/>
        <w:jc w:val="left"/>
        <w:rPr>
          <w:highlight w:val="none"/>
        </w:rPr>
      </w:pPr>
      <w:r>
        <w:tab/>
        <w:t xml:space="preserve">Zhotovitel provede obslužné komunikace a přilehlé prostory do původního stavu, či dle návrhu terénních úprav dle PD. </w:t>
      </w:r>
      <w:r>
        <w:rPr>
          <w:highlight w:val="none"/>
        </w:rPr>
      </w:r>
      <w:r>
        <w:rPr>
          <w:highlight w:val="none"/>
        </w:rPr>
      </w:r>
    </w:p>
    <w:p>
      <w:pPr>
        <w:pStyle w:val="1073"/>
        <w:pBdr/>
        <w:spacing w:line="276" w:lineRule="auto"/>
        <w:ind/>
        <w:jc w:val="left"/>
        <w:rPr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073"/>
        <w:numPr>
          <w:ilvl w:val="0"/>
          <w:numId w:val="15"/>
        </w:numPr>
        <w:pBdr/>
        <w:spacing w:line="276" w:lineRule="auto"/>
        <w:ind/>
        <w:jc w:val="left"/>
        <w:rPr>
          <w:i/>
          <w:u w:val="single"/>
        </w:rPr>
      </w:pPr>
      <w:r>
        <w:rPr>
          <w:i/>
          <w:u w:val="single"/>
        </w:rPr>
        <w:t xml:space="preserve">Provizorní zásobování obyvatel během stavby</w:t>
      </w:r>
      <w:r>
        <w:rPr>
          <w:i/>
          <w:u w:val="single"/>
        </w:rPr>
      </w:r>
      <w:r>
        <w:rPr>
          <w:i/>
          <w:u w:val="single"/>
        </w:rPr>
      </w:r>
    </w:p>
    <w:p>
      <w:pPr>
        <w:pStyle w:val="1073"/>
        <w:pBdr/>
        <w:spacing w:line="276" w:lineRule="auto"/>
        <w:ind/>
        <w:rPr>
          <w:highlight w:val="none"/>
        </w:rPr>
      </w:pPr>
      <w:r>
        <w:tab/>
        <w:t xml:space="preserve">Netýká se. </w:t>
      </w:r>
      <w:r>
        <w:rPr>
          <w:highlight w:val="none"/>
        </w:rPr>
      </w:r>
      <w:r>
        <w:rPr>
          <w:highlight w:val="none"/>
        </w:rPr>
      </w:r>
    </w:p>
    <w:p>
      <w:pPr>
        <w:pStyle w:val="1073"/>
        <w:pBdr/>
        <w:spacing w:line="276" w:lineRule="auto"/>
        <w:ind/>
        <w:rPr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073"/>
        <w:pBdr/>
        <w:spacing w:line="276" w:lineRule="auto"/>
        <w:ind/>
        <w:rPr/>
      </w:pPr>
      <w:r/>
      <w:r/>
    </w:p>
    <w:p>
      <w:pPr>
        <w:pStyle w:val="1073"/>
        <w:pBdr/>
        <w:spacing w:line="276" w:lineRule="auto"/>
        <w:ind/>
        <w:rPr/>
      </w:pPr>
      <w:r/>
      <w:r/>
    </w:p>
    <w:p>
      <w:pPr>
        <w:pStyle w:val="1073"/>
        <w:pBdr/>
        <w:spacing w:line="276" w:lineRule="auto"/>
        <w:ind/>
        <w:rPr/>
      </w:pPr>
      <w:r>
        <w:t xml:space="preserve">V Praze, červen 2025</w:t>
        <w:tab/>
        <w:tab/>
        <w:tab/>
        <w:tab/>
        <w:tab/>
        <w:tab/>
        <w:tab/>
        <w:tab/>
        <w:t xml:space="preserve">Vypracovala: Ing. Pittnerová</w:t>
      </w:r>
      <w:r/>
    </w:p>
    <w:sectPr>
      <w:headerReference w:type="default" r:id="rId9"/>
      <w:footerReference w:type="default" r:id="rId10"/>
      <w:footnotePr/>
      <w:endnotePr/>
      <w:type w:val="nextPage"/>
      <w:pgSz w:h="16840" w:orient="portrait" w:w="11907"/>
      <w:pgMar w:top="1701" w:right="1134" w:bottom="1701" w:left="1418" w:header="680" w:footer="96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10000000000000000"/>
  </w:font>
  <w:font w:name="Calibri Light">
    <w:panose1 w:val="020F0502020204030204"/>
  </w:font>
  <w:font w:name="SuperFrench">
    <w:panose1 w:val="05040102010807070707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7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  <w:spacing/>
      <w:ind/>
      <w:rPr>
        <w:rFonts w:cs="Arial"/>
        <w:i/>
        <w:sz w:val="20"/>
      </w:rPr>
    </w:pPr>
    <w:r>
      <w:rPr>
        <w:rFonts w:cs="Arial"/>
        <w:i/>
        <w:sz w:val="20"/>
      </w:rPr>
      <w:t xml:space="preserve">Vodohospodářské inženýrské služby a.s.</w:t>
      <w:tab/>
      <w:t xml:space="preserve">1</w:t>
      <w:tab/>
    </w:r>
    <w:r>
      <w:rPr>
        <w:rFonts w:cs="Arial"/>
        <w:i/>
        <w:sz w:val="20"/>
      </w:rPr>
      <w:t xml:space="preserve">červen</w:t>
    </w:r>
    <w:r>
      <w:rPr>
        <w:rFonts w:cs="Arial"/>
        <w:i/>
        <w:sz w:val="20"/>
      </w:rPr>
      <w:t xml:space="preserve">, 2025</w:t>
    </w:r>
    <w:r>
      <w:rPr>
        <w:rFonts w:cs="Arial"/>
        <w:i/>
        <w:sz w:val="20"/>
      </w:rPr>
    </w:r>
    <w:r>
      <w:rPr>
        <w:rFonts w:cs="Arial"/>
        <w:i/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6"/>
      <w:pBdr/>
      <w:spacing/>
      <w:ind/>
      <w:rPr>
        <w:i/>
      </w:rPr>
    </w:pPr>
    <w:r>
      <w:rPr>
        <w:i/>
      </w:rPr>
      <w:t xml:space="preserve">ČOV Třebotov – navýšení kapacity</w:t>
      <w:tab/>
      <w:tab/>
    </w:r>
    <w:r>
      <w:rPr>
        <w:i/>
      </w:rPr>
      <w:t xml:space="preserve">D.1.00 TECHNICKÁ ZPRÁVA</w:t>
    </w:r>
    <w:r>
      <w:rPr>
        <w:i/>
      </w:rPr>
    </w:r>
    <w:r>
      <w:rPr>
        <w:i/>
      </w:rPr>
    </w:r>
  </w:p>
  <w:p>
    <w:pPr>
      <w:pStyle w:val="1086"/>
      <w:pBdr/>
      <w:spacing/>
      <w:ind/>
      <w:rPr>
        <w:i/>
      </w:rPr>
    </w:pPr>
    <w:r>
      <w:rPr>
        <w:i/>
      </w:rPr>
      <w:t xml:space="preserve">Dokumentace pro provedení stavby (DPS)</w:t>
      <w:tab/>
      <w:tab/>
      <w:t xml:space="preserve">č. zak. 3/25-005</w:t>
    </w:r>
    <w:r>
      <w:rPr>
        <w:i/>
      </w:rPr>
    </w:r>
    <w:r>
      <w:rPr>
        <w:i/>
      </w:rPr>
    </w:r>
  </w:p>
  <w:p>
    <w:pPr>
      <w:pStyle w:val="1073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pStyle w:val="1074"/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pStyle w:val="1075"/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pStyle w:val="1076"/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pStyle w:val="1077"/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pStyle w:val="1081"/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pStyle w:val="1082"/>
      <w:rPr/>
      <w:start w:val="0"/>
      <w:suff w:val="tab"/>
    </w:lvl>
  </w:abstractNum>
  <w:abstractNum w:abstractNumId="1">
    <w:nsid w:val="01246A22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2">
    <w:nsid w:val="012F179C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079218FF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ascii="Wingdings" w:hAnsi="Wingdings"/>
      </w:rPr>
      <w:start w:val="1"/>
      <w:suff w:val="tab"/>
    </w:lvl>
  </w:abstractNum>
  <w:abstractNum w:abstractNumId="4">
    <w:nsid w:val="0A797CB8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0AD122A7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6">
    <w:nsid w:val="0B0D2E25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0FF84C3D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8">
    <w:nsid w:val="101817E7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9">
    <w:nsid w:val="10345687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0">
    <w:nsid w:val="10FB1C97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1">
    <w:nsid w:val="132B1F7B"/>
    <w:lvl w:ilvl="0">
      <w:isLgl w:val="false"/>
      <w:lvlJc w:val="left"/>
      <w:lvlText w:val="%1)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2)"/>
      <w:numFmt w:val="lowerLetter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3)"/>
      <w:numFmt w:val="lowerRoman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3">
      <w:isLgl w:val="false"/>
      <w:lvlJc w:val="left"/>
      <w:lvlText w:val="(%4)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4">
      <w:isLgl w:val="false"/>
      <w:lvlJc w:val="left"/>
      <w:lvlText w:val="(%5)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5">
      <w:isLgl w:val="false"/>
      <w:lvlJc w:val="left"/>
      <w:lvlText w:val="(%6)"/>
      <w:numFmt w:val="lowerRoman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8">
      <w:isLgl w:val="false"/>
      <w:lvlJc w:val="left"/>
      <w:lvlText w:val="%9."/>
      <w:numFmt w:val="lowerRoman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</w:abstractNum>
  <w:abstractNum w:abstractNumId="12">
    <w:nsid w:val="16475B73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3">
    <w:nsid w:val="19643B0C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4">
    <w:nsid w:val="1BC1716D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ascii="Wingdings" w:hAnsi="Wingdings"/>
      </w:rPr>
      <w:start w:val="1"/>
      <w:suff w:val="tab"/>
    </w:lvl>
  </w:abstractNum>
  <w:abstractNum w:abstractNumId="15">
    <w:nsid w:val="1C0B7C60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6">
    <w:nsid w:val="1C1D452A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7">
    <w:nsid w:val="1DA44F2C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8">
    <w:nsid w:val="1E217C2B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9">
    <w:nsid w:val="1ED33ACD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0">
    <w:nsid w:val="1F693A9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Symbol" w:hAnsi="Symbol"/>
        <w:sz w:val="20"/>
      </w:rPr>
      <w:start w:val="1"/>
      <w:suff w:val="tab"/>
    </w:lvl>
    <w:lvl w:ilvl="2">
      <w:isLgl w:val="false"/>
      <w:lvlJc w:val="left"/>
      <w:lvlText w:val="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Symbol" w:hAnsi="Symbol"/>
        <w:sz w:val="20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  <w:sz w:val="20"/>
      </w:rPr>
      <w:start w:val="1"/>
      <w:suff w:val="tab"/>
    </w:lvl>
    <w:lvl w:ilvl="4">
      <w:isLgl w:val="false"/>
      <w:lvlJc w:val="left"/>
      <w:lvlText w:val="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Symbol" w:hAnsi="Symbol"/>
        <w:sz w:val="20"/>
      </w:rPr>
      <w:start w:val="1"/>
      <w:suff w:val="tab"/>
    </w:lvl>
    <w:lvl w:ilvl="5">
      <w:isLgl w:val="false"/>
      <w:lvlJc w:val="left"/>
      <w:lvlText w:val="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Symbol" w:hAnsi="Symbol"/>
        <w:sz w:val="20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  <w:sz w:val="20"/>
      </w:rPr>
      <w:start w:val="1"/>
      <w:suff w:val="tab"/>
    </w:lvl>
    <w:lvl w:ilvl="7">
      <w:isLgl w:val="false"/>
      <w:lvlJc w:val="left"/>
      <w:lvlText w:val="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Symbol" w:hAnsi="Symbol"/>
        <w:sz w:val="20"/>
      </w:rPr>
      <w:start w:val="1"/>
      <w:suff w:val="tab"/>
    </w:lvl>
    <w:lvl w:ilvl="8">
      <w:isLgl w:val="false"/>
      <w:lvlJc w:val="left"/>
      <w:lvlText w:val="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Symbol" w:hAnsi="Symbol"/>
        <w:sz w:val="20"/>
      </w:rPr>
      <w:start w:val="1"/>
      <w:suff w:val="tab"/>
    </w:lvl>
  </w:abstractNum>
  <w:abstractNum w:abstractNumId="21">
    <w:nsid w:val="2C3E06F0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22">
    <w:nsid w:val="2DFF559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23">
    <w:nsid w:val="30142A8A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4">
    <w:nsid w:val="30323C7D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5">
    <w:nsid w:val="38D161E1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26">
    <w:nsid w:val="393A1E5D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27">
    <w:nsid w:val="46C3657D"/>
    <w:lvl w:ilvl="0">
      <w:isLgl w:val="false"/>
      <w:lvlJc w:val="left"/>
      <w:lvlText w:val=""/>
      <w:numFmt w:val="bullet"/>
      <w:pPr>
        <w:pBdr/>
        <w:tabs>
          <w:tab w:val="num" w:leader="none" w:pos="1080"/>
        </w:tabs>
        <w:spacing/>
        <w:ind w:hanging="360" w:left="1080"/>
      </w:pPr>
      <w:rPr>
        <w:rFonts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800"/>
        </w:tabs>
        <w:spacing/>
        <w:ind w:hanging="360" w:left="1800"/>
      </w:pPr>
      <w:rPr>
        <w:rFonts w:ascii="Courier New" w:hAnsi="Courier New" w:cs="SuperFrench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520"/>
        </w:tabs>
        <w:spacing/>
        <w:ind w:hanging="360" w:left="252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3240"/>
        </w:tabs>
        <w:spacing/>
        <w:ind w:hanging="360" w:left="324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960"/>
        </w:tabs>
        <w:spacing/>
        <w:ind w:hanging="360" w:left="3960"/>
      </w:pPr>
      <w:rPr>
        <w:rFonts w:ascii="Courier New" w:hAnsi="Courier New" w:cs="SuperFrench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680"/>
        </w:tabs>
        <w:spacing/>
        <w:ind w:hanging="360" w:left="468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400"/>
        </w:tabs>
        <w:spacing/>
        <w:ind w:hanging="360" w:left="540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6120"/>
        </w:tabs>
        <w:spacing/>
        <w:ind w:hanging="360" w:left="6120"/>
      </w:pPr>
      <w:rPr>
        <w:rFonts w:ascii="Courier New" w:hAnsi="Courier New" w:cs="SuperFrench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840"/>
        </w:tabs>
        <w:spacing/>
        <w:ind w:hanging="360" w:left="6840"/>
      </w:pPr>
      <w:rPr>
        <w:rFonts w:ascii="Wingdings" w:hAnsi="Wingdings"/>
      </w:rPr>
      <w:start w:val="1"/>
      <w:suff w:val="tab"/>
    </w:lvl>
  </w:abstractNum>
  <w:abstractNum w:abstractNumId="28">
    <w:nsid w:val="47204D3E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9">
    <w:nsid w:val="49D65ED4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0">
    <w:nsid w:val="4C9A73DD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1">
    <w:nsid w:val="5507291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2">
    <w:nsid w:val="60A5756A"/>
    <w:lvl w:ilvl="0">
      <w:isLgl w:val="false"/>
      <w:lvlJc w:val="left"/>
      <w:lvlText w:val=""/>
      <w:numFmt w:val="bullet"/>
      <w:pPr>
        <w:pBdr/>
        <w:tabs>
          <w:tab w:val="num" w:leader="none" w:pos="1080"/>
        </w:tabs>
        <w:spacing/>
        <w:ind w:hanging="360" w:left="1080"/>
      </w:pPr>
      <w:rPr>
        <w:rFonts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800"/>
        </w:tabs>
        <w:spacing/>
        <w:ind w:hanging="360" w:left="1800"/>
      </w:pPr>
      <w:rPr>
        <w:rFonts w:ascii="Courier New" w:hAnsi="Courier New" w:cs="SuperFrench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520"/>
        </w:tabs>
        <w:spacing/>
        <w:ind w:hanging="360" w:left="252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3240"/>
        </w:tabs>
        <w:spacing/>
        <w:ind w:hanging="360" w:left="324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960"/>
        </w:tabs>
        <w:spacing/>
        <w:ind w:hanging="360" w:left="3960"/>
      </w:pPr>
      <w:rPr>
        <w:rFonts w:ascii="Courier New" w:hAnsi="Courier New" w:cs="SuperFrench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680"/>
        </w:tabs>
        <w:spacing/>
        <w:ind w:hanging="360" w:left="468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400"/>
        </w:tabs>
        <w:spacing/>
        <w:ind w:hanging="360" w:left="540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6120"/>
        </w:tabs>
        <w:spacing/>
        <w:ind w:hanging="360" w:left="6120"/>
      </w:pPr>
      <w:rPr>
        <w:rFonts w:ascii="Courier New" w:hAnsi="Courier New" w:cs="SuperFrench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840"/>
        </w:tabs>
        <w:spacing/>
        <w:ind w:hanging="360" w:left="6840"/>
      </w:pPr>
      <w:rPr>
        <w:rFonts w:ascii="Wingdings" w:hAnsi="Wingdings"/>
      </w:rPr>
      <w:start w:val="1"/>
      <w:suff w:val="tab"/>
    </w:lvl>
  </w:abstractNum>
  <w:abstractNum w:abstractNumId="33">
    <w:nsid w:val="63934724"/>
    <w:lvl w:ilvl="0">
      <w:isLgl w:val="false"/>
      <w:lvlJc w:val="left"/>
      <w:lvlText w:val=""/>
      <w:numFmt w:val="bullet"/>
      <w:pPr>
        <w:pBdr/>
        <w:tabs>
          <w:tab w:val="num" w:leader="none" w:pos="1080"/>
        </w:tabs>
        <w:spacing/>
        <w:ind w:hanging="360" w:left="1080"/>
      </w:pPr>
      <w:rPr>
        <w:rFonts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800"/>
        </w:tabs>
        <w:spacing/>
        <w:ind w:hanging="360" w:left="1800"/>
      </w:pPr>
      <w:rPr>
        <w:rFonts w:ascii="Courier New" w:hAnsi="Courier New" w:cs="SuperFrench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520"/>
        </w:tabs>
        <w:spacing/>
        <w:ind w:hanging="360" w:left="252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3240"/>
        </w:tabs>
        <w:spacing/>
        <w:ind w:hanging="360" w:left="324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960"/>
        </w:tabs>
        <w:spacing/>
        <w:ind w:hanging="360" w:left="3960"/>
      </w:pPr>
      <w:rPr>
        <w:rFonts w:ascii="Courier New" w:hAnsi="Courier New" w:cs="SuperFrench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680"/>
        </w:tabs>
        <w:spacing/>
        <w:ind w:hanging="360" w:left="468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400"/>
        </w:tabs>
        <w:spacing/>
        <w:ind w:hanging="360" w:left="540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6120"/>
        </w:tabs>
        <w:spacing/>
        <w:ind w:hanging="360" w:left="6120"/>
      </w:pPr>
      <w:rPr>
        <w:rFonts w:ascii="Courier New" w:hAnsi="Courier New" w:cs="SuperFrench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840"/>
        </w:tabs>
        <w:spacing/>
        <w:ind w:hanging="360" w:left="6840"/>
      </w:pPr>
      <w:rPr>
        <w:rFonts w:ascii="Wingdings" w:hAnsi="Wingdings"/>
      </w:rPr>
      <w:start w:val="1"/>
      <w:suff w:val="tab"/>
    </w:lvl>
  </w:abstractNum>
  <w:abstractNum w:abstractNumId="34">
    <w:nsid w:val="65CD4200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5">
    <w:nsid w:val="6A88238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6">
    <w:nsid w:val="6D31522F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7">
    <w:nsid w:val="6E046B32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8">
    <w:nsid w:val="6E0630F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9">
    <w:nsid w:val="713E2A3A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40">
    <w:nsid w:val="73D90B30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41">
    <w:nsid w:val="751B663E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2">
    <w:nsid w:val="77CA3F5B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3">
    <w:nsid w:val="7937076B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44">
    <w:nsid w:val="7AC82E83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5">
    <w:nsid w:val="7B147D58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6">
    <w:nsid w:val="7C6A3DAE"/>
    <w:lvl w:ilvl="0">
      <w:isLgl w:val="false"/>
      <w:lvlJc w:val="left"/>
      <w:lvlText w:val="%1)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2)"/>
      <w:numFmt w:val="lowerLetter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3)"/>
      <w:numFmt w:val="lowerRoman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3">
      <w:isLgl w:val="false"/>
      <w:lvlJc w:val="left"/>
      <w:lvlText w:val="(%4)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4">
      <w:isLgl w:val="false"/>
      <w:lvlJc w:val="left"/>
      <w:lvlText w:val="(%5)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5">
      <w:isLgl w:val="false"/>
      <w:lvlJc w:val="left"/>
      <w:lvlText w:val="(%6)"/>
      <w:numFmt w:val="lowerRoman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8">
      <w:isLgl w:val="false"/>
      <w:lvlJc w:val="left"/>
      <w:lvlText w:val="%9."/>
      <w:numFmt w:val="lowerRoman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</w:abstractNum>
  <w:abstractNum w:abstractNumId="47">
    <w:nsid w:val="7D964214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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Wingdings" w:hAnsi="Wingdings"/>
      </w:rPr>
      <w:start w:val="1"/>
      <w:suff w:val="tab"/>
    </w:lvl>
    <w:lvl w:ilvl="2">
      <w:isLgl w:val="false"/>
      <w:lvlJc w:val="left"/>
      <w:lvlText w:val="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48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49">
    <w:nsid w:val="4B334B7C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50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51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52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53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54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55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56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57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58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59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60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61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62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63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64">
    <w:nsid w:val="1E217C2B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65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66">
    <w:nsid w:val="1E217C2B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67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68">
    <w:nsid w:val="1E217C2B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69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70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71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72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73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74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75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76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num w:numId="1">
    <w:abstractNumId w:val="0"/>
  </w:num>
  <w:num w:numId="2">
    <w:abstractNumId w:val="17"/>
  </w:num>
  <w:num w:numId="3">
    <w:abstractNumId w:val="4"/>
  </w:num>
  <w:num w:numId="4">
    <w:abstractNumId w:val="44"/>
  </w:num>
  <w:num w:numId="5">
    <w:abstractNumId w:val="15"/>
  </w:num>
  <w:num w:numId="6">
    <w:abstractNumId w:val="19"/>
  </w:num>
  <w:num w:numId="7">
    <w:abstractNumId w:val="42"/>
  </w:num>
  <w:num w:numId="8">
    <w:abstractNumId w:val="24"/>
  </w:num>
  <w:num w:numId="9">
    <w:abstractNumId w:val="28"/>
  </w:num>
  <w:num w:numId="10">
    <w:abstractNumId w:val="45"/>
  </w:num>
  <w:num w:numId="11">
    <w:abstractNumId w:val="10"/>
  </w:num>
  <w:num w:numId="12">
    <w:abstractNumId w:val="6"/>
  </w:num>
  <w:num w:numId="13">
    <w:abstractNumId w:val="2"/>
  </w:num>
  <w:num w:numId="14">
    <w:abstractNumId w:val="41"/>
  </w:num>
  <w:num w:numId="15">
    <w:abstractNumId w:val="23"/>
  </w:num>
  <w:num w:numId="16">
    <w:abstractNumId w:val="13"/>
  </w:num>
  <w:num w:numId="17">
    <w:abstractNumId w:val="40"/>
  </w:num>
  <w:num w:numId="18">
    <w:abstractNumId w:val="47"/>
  </w:num>
  <w:num w:numId="19">
    <w:abstractNumId w:val="46"/>
  </w:num>
  <w:num w:numId="20">
    <w:abstractNumId w:val="11"/>
  </w:num>
  <w:num w:numId="21">
    <w:abstractNumId w:val="32"/>
  </w:num>
  <w:num w:numId="22">
    <w:abstractNumId w:val="33"/>
  </w:num>
  <w:num w:numId="23">
    <w:abstractNumId w:val="27"/>
  </w:num>
  <w:num w:numId="24">
    <w:abstractNumId w:val="9"/>
  </w:num>
  <w:num w:numId="25">
    <w:abstractNumId w:val="16"/>
  </w:num>
  <w:num w:numId="26">
    <w:abstractNumId w:val="30"/>
  </w:num>
  <w:num w:numId="27">
    <w:abstractNumId w:val="36"/>
  </w:num>
  <w:num w:numId="28">
    <w:abstractNumId w:val="7"/>
  </w:num>
  <w:num w:numId="29">
    <w:abstractNumId w:val="35"/>
  </w:num>
  <w:num w:numId="30">
    <w:abstractNumId w:val="26"/>
  </w:num>
  <w:num w:numId="31">
    <w:abstractNumId w:val="31"/>
  </w:num>
  <w:num w:numId="32">
    <w:abstractNumId w:val="38"/>
  </w:num>
  <w:num w:numId="33">
    <w:abstractNumId w:val="22"/>
  </w:num>
  <w:num w:numId="34">
    <w:abstractNumId w:val="5"/>
  </w:num>
  <w:num w:numId="35">
    <w:abstractNumId w:val="34"/>
  </w:num>
  <w:num w:numId="36">
    <w:abstractNumId w:val="3"/>
  </w:num>
  <w:num w:numId="37">
    <w:abstractNumId w:val="39"/>
  </w:num>
  <w:num w:numId="38">
    <w:abstractNumId w:val="1"/>
  </w:num>
  <w:num w:numId="39">
    <w:abstractNumId w:val="14"/>
  </w:num>
  <w:num w:numId="40">
    <w:abstractNumId w:val="29"/>
  </w:num>
  <w:num w:numId="41">
    <w:abstractNumId w:val="8"/>
  </w:num>
  <w:num w:numId="42">
    <w:abstractNumId w:val="12"/>
  </w:num>
  <w:num w:numId="43">
    <w:abstractNumId w:val="37"/>
  </w:num>
  <w:num w:numId="44">
    <w:abstractNumId w:val="25"/>
  </w:num>
  <w:num w:numId="45">
    <w:abstractNumId w:val="43"/>
  </w:num>
  <w:num w:numId="46">
    <w:abstractNumId w:val="20"/>
  </w:num>
  <w:num w:numId="47">
    <w:abstractNumId w:val="18"/>
  </w:num>
  <w:num w:numId="48">
    <w:abstractNumId w:val="21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cs-CZ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8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Table Grid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Table Grid Light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Plain Table 1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Plain Table 2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Plain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Plain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Plain Table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4 - Accent 1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4 - Accent 2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4 - Accent 3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4 - Accent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4 - Accent 5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4 - Accent 6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5 Dark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5 Dark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4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4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4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4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4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4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5 Dark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5 Dark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Bordered &amp; 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Bordered &amp; 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Bordered &amp; 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Bordered &amp; 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Bordered &amp; 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Bordered &amp; 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Bordered &amp; 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Bordered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Bordered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Bordered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Bordered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Bordered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Bordered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Bordered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11">
    <w:name w:val="Heading 1"/>
    <w:basedOn w:val="1073"/>
    <w:next w:val="1073"/>
    <w:link w:val="1022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012">
    <w:name w:val="Heading 2"/>
    <w:basedOn w:val="1073"/>
    <w:next w:val="1073"/>
    <w:link w:val="1023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013">
    <w:name w:val="Heading 3"/>
    <w:basedOn w:val="1073"/>
    <w:next w:val="1073"/>
    <w:link w:val="1024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014">
    <w:name w:val="Heading 4"/>
    <w:basedOn w:val="1073"/>
    <w:next w:val="1073"/>
    <w:link w:val="1025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15">
    <w:name w:val="Heading 5"/>
    <w:basedOn w:val="1073"/>
    <w:next w:val="1073"/>
    <w:link w:val="1026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16">
    <w:name w:val="Heading 6"/>
    <w:basedOn w:val="1073"/>
    <w:next w:val="1073"/>
    <w:link w:val="1027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17">
    <w:name w:val="Heading 7"/>
    <w:basedOn w:val="1073"/>
    <w:next w:val="1073"/>
    <w:link w:val="1028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18">
    <w:name w:val="Heading 8"/>
    <w:basedOn w:val="1073"/>
    <w:next w:val="1073"/>
    <w:link w:val="1029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19">
    <w:name w:val="Heading 9"/>
    <w:basedOn w:val="1073"/>
    <w:next w:val="1073"/>
    <w:link w:val="1030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20" w:default="1">
    <w:name w:val="Default Paragraph Font"/>
    <w:uiPriority w:val="1"/>
    <w:semiHidden/>
    <w:unhideWhenUsed/>
    <w:pPr>
      <w:pBdr/>
      <w:spacing/>
      <w:ind/>
    </w:pPr>
  </w:style>
  <w:style w:type="numbering" w:styleId="1021" w:default="1">
    <w:name w:val="No List"/>
    <w:uiPriority w:val="99"/>
    <w:semiHidden/>
    <w:unhideWhenUsed/>
    <w:pPr>
      <w:pBdr/>
      <w:spacing/>
      <w:ind/>
    </w:pPr>
  </w:style>
  <w:style w:type="character" w:styleId="1022">
    <w:name w:val="Heading 1 Char"/>
    <w:basedOn w:val="1020"/>
    <w:link w:val="101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23">
    <w:name w:val="Heading 2 Char"/>
    <w:basedOn w:val="1020"/>
    <w:link w:val="101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24">
    <w:name w:val="Heading 3 Char"/>
    <w:basedOn w:val="1020"/>
    <w:link w:val="101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25">
    <w:name w:val="Heading 4 Char"/>
    <w:basedOn w:val="1020"/>
    <w:link w:val="101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26">
    <w:name w:val="Heading 5 Char"/>
    <w:basedOn w:val="1020"/>
    <w:link w:val="101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27">
    <w:name w:val="Heading 6 Char"/>
    <w:basedOn w:val="1020"/>
    <w:link w:val="101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28">
    <w:name w:val="Heading 7 Char"/>
    <w:basedOn w:val="1020"/>
    <w:link w:val="101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29">
    <w:name w:val="Heading 8 Char"/>
    <w:basedOn w:val="1020"/>
    <w:link w:val="101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30">
    <w:name w:val="Heading 9 Char"/>
    <w:basedOn w:val="1020"/>
    <w:link w:val="101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31">
    <w:name w:val="Title"/>
    <w:basedOn w:val="1073"/>
    <w:next w:val="1073"/>
    <w:link w:val="1032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32">
    <w:name w:val="Title Char"/>
    <w:basedOn w:val="1020"/>
    <w:link w:val="103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33">
    <w:name w:val="Subtitle"/>
    <w:basedOn w:val="1073"/>
    <w:next w:val="1073"/>
    <w:link w:val="1034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34">
    <w:name w:val="Subtitle Char"/>
    <w:basedOn w:val="1020"/>
    <w:link w:val="103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35">
    <w:name w:val="Quote"/>
    <w:basedOn w:val="1073"/>
    <w:next w:val="1073"/>
    <w:link w:val="103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36">
    <w:name w:val="Quote Char"/>
    <w:basedOn w:val="1020"/>
    <w:link w:val="1035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037">
    <w:name w:val="List Paragraph"/>
    <w:basedOn w:val="1073"/>
    <w:uiPriority w:val="34"/>
    <w:qFormat/>
    <w:pPr>
      <w:pBdr/>
      <w:spacing/>
      <w:ind w:left="720"/>
      <w:contextualSpacing w:val="true"/>
    </w:pPr>
  </w:style>
  <w:style w:type="character" w:styleId="1038">
    <w:name w:val="Intense Emphasis"/>
    <w:basedOn w:val="102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39">
    <w:name w:val="Intense Quote"/>
    <w:basedOn w:val="1073"/>
    <w:next w:val="1073"/>
    <w:link w:val="1040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40">
    <w:name w:val="Intense Quote Char"/>
    <w:basedOn w:val="1020"/>
    <w:link w:val="103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41">
    <w:name w:val="Intense Reference"/>
    <w:basedOn w:val="102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042">
    <w:name w:val="No Spacing"/>
    <w:basedOn w:val="1073"/>
    <w:uiPriority w:val="1"/>
    <w:qFormat/>
    <w:pPr>
      <w:pBdr/>
      <w:spacing w:after="0" w:line="240" w:lineRule="auto"/>
      <w:ind/>
    </w:pPr>
  </w:style>
  <w:style w:type="character" w:styleId="1043">
    <w:name w:val="Subtle Emphasis"/>
    <w:basedOn w:val="102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44">
    <w:name w:val="Emphasis"/>
    <w:basedOn w:val="1020"/>
    <w:uiPriority w:val="20"/>
    <w:qFormat/>
    <w:pPr>
      <w:pBdr/>
      <w:spacing/>
      <w:ind/>
    </w:pPr>
    <w:rPr>
      <w:i/>
      <w:iCs/>
    </w:rPr>
  </w:style>
  <w:style w:type="character" w:styleId="1045">
    <w:name w:val="Strong"/>
    <w:basedOn w:val="1020"/>
    <w:uiPriority w:val="22"/>
    <w:qFormat/>
    <w:pPr>
      <w:pBdr/>
      <w:spacing/>
      <w:ind/>
    </w:pPr>
    <w:rPr>
      <w:b/>
      <w:bCs/>
    </w:rPr>
  </w:style>
  <w:style w:type="character" w:styleId="1046">
    <w:name w:val="Subtle Reference"/>
    <w:basedOn w:val="102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47">
    <w:name w:val="Book Title"/>
    <w:basedOn w:val="102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048">
    <w:name w:val="Header"/>
    <w:basedOn w:val="1073"/>
    <w:link w:val="104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049">
    <w:name w:val="Header Char"/>
    <w:basedOn w:val="1020"/>
    <w:link w:val="1048"/>
    <w:uiPriority w:val="99"/>
    <w:pPr>
      <w:pBdr/>
      <w:spacing/>
      <w:ind/>
    </w:pPr>
  </w:style>
  <w:style w:type="paragraph" w:styleId="1050">
    <w:name w:val="Footer"/>
    <w:basedOn w:val="1073"/>
    <w:link w:val="105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051">
    <w:name w:val="Footer Char"/>
    <w:basedOn w:val="1020"/>
    <w:link w:val="1050"/>
    <w:uiPriority w:val="99"/>
    <w:pPr>
      <w:pBdr/>
      <w:spacing/>
      <w:ind/>
    </w:pPr>
  </w:style>
  <w:style w:type="paragraph" w:styleId="1052">
    <w:name w:val="Caption"/>
    <w:basedOn w:val="1073"/>
    <w:next w:val="107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053">
    <w:name w:val="footnote text"/>
    <w:basedOn w:val="1073"/>
    <w:link w:val="105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54">
    <w:name w:val="Footnote Text Char"/>
    <w:basedOn w:val="1020"/>
    <w:link w:val="1053"/>
    <w:uiPriority w:val="99"/>
    <w:semiHidden/>
    <w:pPr>
      <w:pBdr/>
      <w:spacing/>
      <w:ind/>
    </w:pPr>
    <w:rPr>
      <w:sz w:val="20"/>
      <w:szCs w:val="20"/>
    </w:rPr>
  </w:style>
  <w:style w:type="character" w:styleId="1055">
    <w:name w:val="footnote reference"/>
    <w:basedOn w:val="1020"/>
    <w:uiPriority w:val="99"/>
    <w:semiHidden/>
    <w:unhideWhenUsed/>
    <w:pPr>
      <w:pBdr/>
      <w:spacing/>
      <w:ind/>
    </w:pPr>
    <w:rPr>
      <w:vertAlign w:val="superscript"/>
    </w:rPr>
  </w:style>
  <w:style w:type="paragraph" w:styleId="1056">
    <w:name w:val="endnote text"/>
    <w:basedOn w:val="1073"/>
    <w:link w:val="105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57">
    <w:name w:val="Endnote Text Char"/>
    <w:basedOn w:val="1020"/>
    <w:link w:val="1056"/>
    <w:uiPriority w:val="99"/>
    <w:semiHidden/>
    <w:pPr>
      <w:pBdr/>
      <w:spacing/>
      <w:ind/>
    </w:pPr>
    <w:rPr>
      <w:sz w:val="20"/>
      <w:szCs w:val="20"/>
    </w:rPr>
  </w:style>
  <w:style w:type="character" w:styleId="1058">
    <w:name w:val="endnote reference"/>
    <w:basedOn w:val="1020"/>
    <w:uiPriority w:val="99"/>
    <w:semiHidden/>
    <w:unhideWhenUsed/>
    <w:pPr>
      <w:pBdr/>
      <w:spacing/>
      <w:ind/>
    </w:pPr>
    <w:rPr>
      <w:vertAlign w:val="superscript"/>
    </w:rPr>
  </w:style>
  <w:style w:type="character" w:styleId="1059">
    <w:name w:val="Hyperlink"/>
    <w:basedOn w:val="1020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60">
    <w:name w:val="FollowedHyperlink"/>
    <w:basedOn w:val="102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61">
    <w:name w:val="toc 1"/>
    <w:basedOn w:val="1073"/>
    <w:next w:val="1073"/>
    <w:uiPriority w:val="39"/>
    <w:unhideWhenUsed/>
    <w:pPr>
      <w:pBdr/>
      <w:spacing w:after="100"/>
      <w:ind/>
    </w:pPr>
  </w:style>
  <w:style w:type="paragraph" w:styleId="1062">
    <w:name w:val="toc 2"/>
    <w:basedOn w:val="1073"/>
    <w:next w:val="1073"/>
    <w:uiPriority w:val="39"/>
    <w:unhideWhenUsed/>
    <w:pPr>
      <w:pBdr/>
      <w:spacing w:after="100"/>
      <w:ind w:left="220"/>
    </w:pPr>
  </w:style>
  <w:style w:type="paragraph" w:styleId="1063">
    <w:name w:val="toc 3"/>
    <w:basedOn w:val="1073"/>
    <w:next w:val="1073"/>
    <w:uiPriority w:val="39"/>
    <w:unhideWhenUsed/>
    <w:pPr>
      <w:pBdr/>
      <w:spacing w:after="100"/>
      <w:ind w:left="440"/>
    </w:pPr>
  </w:style>
  <w:style w:type="paragraph" w:styleId="1064">
    <w:name w:val="toc 4"/>
    <w:basedOn w:val="1073"/>
    <w:next w:val="1073"/>
    <w:uiPriority w:val="39"/>
    <w:unhideWhenUsed/>
    <w:pPr>
      <w:pBdr/>
      <w:spacing w:after="100"/>
      <w:ind w:left="660"/>
    </w:pPr>
  </w:style>
  <w:style w:type="paragraph" w:styleId="1065">
    <w:name w:val="toc 5"/>
    <w:basedOn w:val="1073"/>
    <w:next w:val="1073"/>
    <w:uiPriority w:val="39"/>
    <w:unhideWhenUsed/>
    <w:pPr>
      <w:pBdr/>
      <w:spacing w:after="100"/>
      <w:ind w:left="880"/>
    </w:pPr>
  </w:style>
  <w:style w:type="paragraph" w:styleId="1066">
    <w:name w:val="toc 6"/>
    <w:basedOn w:val="1073"/>
    <w:next w:val="1073"/>
    <w:uiPriority w:val="39"/>
    <w:unhideWhenUsed/>
    <w:pPr>
      <w:pBdr/>
      <w:spacing w:after="100"/>
      <w:ind w:left="1100"/>
    </w:pPr>
  </w:style>
  <w:style w:type="paragraph" w:styleId="1067">
    <w:name w:val="toc 7"/>
    <w:basedOn w:val="1073"/>
    <w:next w:val="1073"/>
    <w:uiPriority w:val="39"/>
    <w:unhideWhenUsed/>
    <w:pPr>
      <w:pBdr/>
      <w:spacing w:after="100"/>
      <w:ind w:left="1320"/>
    </w:pPr>
  </w:style>
  <w:style w:type="paragraph" w:styleId="1068">
    <w:name w:val="toc 8"/>
    <w:basedOn w:val="1073"/>
    <w:next w:val="1073"/>
    <w:uiPriority w:val="39"/>
    <w:unhideWhenUsed/>
    <w:pPr>
      <w:pBdr/>
      <w:spacing w:after="100"/>
      <w:ind w:left="1540"/>
    </w:pPr>
  </w:style>
  <w:style w:type="paragraph" w:styleId="1069">
    <w:name w:val="toc 9"/>
    <w:basedOn w:val="1073"/>
    <w:next w:val="1073"/>
    <w:uiPriority w:val="39"/>
    <w:unhideWhenUsed/>
    <w:pPr>
      <w:pBdr/>
      <w:spacing w:after="100"/>
      <w:ind w:left="1760"/>
    </w:pPr>
  </w:style>
  <w:style w:type="character" w:styleId="1070">
    <w:name w:val="Placeholder Text"/>
    <w:basedOn w:val="1020"/>
    <w:uiPriority w:val="99"/>
    <w:semiHidden/>
    <w:pPr>
      <w:pBdr/>
      <w:spacing/>
      <w:ind/>
    </w:pPr>
    <w:rPr>
      <w:color w:val="666666"/>
    </w:rPr>
  </w:style>
  <w:style w:type="paragraph" w:styleId="1071">
    <w:name w:val="TOC Heading"/>
    <w:uiPriority w:val="39"/>
    <w:unhideWhenUsed/>
    <w:pPr>
      <w:pBdr/>
      <w:spacing/>
      <w:ind/>
    </w:pPr>
  </w:style>
  <w:style w:type="paragraph" w:styleId="1072">
    <w:name w:val="table of figures"/>
    <w:basedOn w:val="1073"/>
    <w:next w:val="1073"/>
    <w:uiPriority w:val="99"/>
    <w:unhideWhenUsed/>
    <w:pPr>
      <w:pBdr/>
      <w:spacing w:after="0" w:afterAutospacing="0"/>
      <w:ind/>
    </w:pPr>
  </w:style>
  <w:style w:type="paragraph" w:styleId="1073" w:default="1">
    <w:name w:val="Normal"/>
    <w:next w:val="1073"/>
    <w:link w:val="1073"/>
    <w:qFormat/>
    <w:pPr>
      <w:pBdr/>
      <w:tabs>
        <w:tab w:val="left" w:leader="none" w:pos="567"/>
      </w:tabs>
      <w:spacing w:line="360" w:lineRule="auto"/>
      <w:ind/>
      <w:jc w:val="both"/>
    </w:pPr>
    <w:rPr>
      <w:rFonts w:ascii="Arial" w:hAnsi="Arial"/>
      <w:sz w:val="22"/>
      <w:lang w:val="cs-CZ" w:eastAsia="cs-CZ" w:bidi="ar-SA"/>
    </w:rPr>
  </w:style>
  <w:style w:type="paragraph" w:styleId="1074">
    <w:name w:val="Nadpis 1"/>
    <w:basedOn w:val="1073"/>
    <w:next w:val="1073"/>
    <w:link w:val="1073"/>
    <w:qFormat/>
    <w:pPr>
      <w:keepNext w:val="true"/>
      <w:numPr>
        <w:ilvl w:val="0"/>
        <w:numId w:val="1"/>
      </w:numPr>
      <w:pBdr/>
      <w:spacing w:after="280" w:before="400"/>
      <w:ind/>
      <w:jc w:val="left"/>
      <w:outlineLvl w:val="0"/>
    </w:pPr>
    <w:rPr>
      <w:b/>
      <w:caps/>
      <w:sz w:val="28"/>
      <w:u w:val="single"/>
    </w:rPr>
  </w:style>
  <w:style w:type="paragraph" w:styleId="1075">
    <w:name w:val="Nadpis 2"/>
    <w:basedOn w:val="1073"/>
    <w:next w:val="1073"/>
    <w:link w:val="1073"/>
    <w:qFormat/>
    <w:pPr>
      <w:keepNext w:val="true"/>
      <w:numPr>
        <w:ilvl w:val="1"/>
        <w:numId w:val="1"/>
      </w:numPr>
      <w:pBdr/>
      <w:spacing w:after="240" w:before="360"/>
      <w:ind/>
      <w:outlineLvl w:val="1"/>
    </w:pPr>
    <w:rPr>
      <w:b/>
      <w:caps/>
      <w:sz w:val="28"/>
      <w:u w:val="single"/>
    </w:rPr>
  </w:style>
  <w:style w:type="paragraph" w:styleId="1076">
    <w:name w:val="Nadpis 3"/>
    <w:basedOn w:val="1075"/>
    <w:next w:val="1073"/>
    <w:link w:val="1073"/>
    <w:qFormat/>
    <w:pPr>
      <w:numPr>
        <w:ilvl w:val="2"/>
        <w:numId w:val="1"/>
      </w:numPr>
      <w:pBdr/>
      <w:spacing/>
      <w:ind/>
      <w:outlineLvl w:val="2"/>
    </w:pPr>
    <w:rPr>
      <w:sz w:val="24"/>
    </w:rPr>
  </w:style>
  <w:style w:type="paragraph" w:styleId="1077">
    <w:name w:val="Nadpis 4"/>
    <w:basedOn w:val="1073"/>
    <w:next w:val="1073"/>
    <w:link w:val="1117"/>
    <w:qFormat/>
    <w:pPr>
      <w:keepNext w:val="true"/>
      <w:numPr>
        <w:ilvl w:val="3"/>
        <w:numId w:val="1"/>
      </w:numPr>
      <w:pBdr/>
      <w:tabs>
        <w:tab w:val="left" w:leader="none" w:pos="284"/>
        <w:tab w:val="left" w:leader="none" w:pos="851"/>
        <w:tab w:val="left" w:leader="none" w:pos="1134"/>
        <w:tab w:val="left" w:leader="none" w:pos="1418"/>
        <w:tab w:val="left" w:leader="none" w:pos="1701"/>
      </w:tabs>
      <w:spacing w:after="60" w:before="120" w:line="312" w:lineRule="auto"/>
      <w:ind/>
      <w:jc w:val="left"/>
      <w:outlineLvl w:val="3"/>
    </w:pPr>
    <w:rPr>
      <w:b/>
      <w:i/>
      <w:sz w:val="24"/>
      <w:u w:val="single"/>
    </w:rPr>
  </w:style>
  <w:style w:type="paragraph" w:styleId="1078">
    <w:name w:val="Nadpis 5"/>
    <w:basedOn w:val="1073"/>
    <w:next w:val="1073"/>
    <w:link w:val="1073"/>
    <w:qFormat/>
    <w:pPr>
      <w:keepNext w:val="true"/>
      <w:pBdr/>
      <w:spacing/>
      <w:ind/>
      <w:outlineLvl w:val="4"/>
    </w:pPr>
    <w:rPr>
      <w:b/>
      <w:color w:val="ff00ff"/>
    </w:rPr>
  </w:style>
  <w:style w:type="paragraph" w:styleId="1079">
    <w:name w:val="Nadpis 6"/>
    <w:basedOn w:val="1073"/>
    <w:next w:val="1073"/>
    <w:link w:val="1073"/>
    <w:qFormat/>
    <w:pPr>
      <w:keepNext w:val="true"/>
      <w:pBdr/>
      <w:spacing/>
      <w:ind/>
      <w:outlineLvl w:val="5"/>
    </w:pPr>
    <w:rPr>
      <w:b/>
    </w:rPr>
  </w:style>
  <w:style w:type="paragraph" w:styleId="1080">
    <w:name w:val="Nadpis 7"/>
    <w:basedOn w:val="1073"/>
    <w:next w:val="1073"/>
    <w:link w:val="1073"/>
    <w:qFormat/>
    <w:pPr>
      <w:keepNext w:val="true"/>
      <w:pBdr/>
      <w:spacing/>
      <w:ind/>
      <w:outlineLvl w:val="6"/>
    </w:pPr>
    <w:rPr>
      <w:i/>
      <w:u w:val="single"/>
    </w:rPr>
  </w:style>
  <w:style w:type="paragraph" w:styleId="1081">
    <w:name w:val="Nadpis 8"/>
    <w:basedOn w:val="1073"/>
    <w:next w:val="1073"/>
    <w:link w:val="1073"/>
    <w:qFormat/>
    <w:pPr>
      <w:widowControl w:val="false"/>
      <w:numPr>
        <w:ilvl w:val="7"/>
        <w:numId w:val="1"/>
      </w:numPr>
      <w:pBdr/>
      <w:tabs>
        <w:tab w:val="clear" w:leader="none" w:pos="567"/>
      </w:tabs>
      <w:spacing w:after="60" w:before="240" w:line="240" w:lineRule="auto"/>
      <w:ind/>
      <w:outlineLvl w:val="7"/>
    </w:pPr>
    <w:rPr>
      <w:i/>
      <w:sz w:val="24"/>
    </w:rPr>
  </w:style>
  <w:style w:type="paragraph" w:styleId="1082">
    <w:name w:val="Nadpis 9"/>
    <w:basedOn w:val="1073"/>
    <w:next w:val="1073"/>
    <w:link w:val="1073"/>
    <w:qFormat/>
    <w:pPr>
      <w:widowControl w:val="false"/>
      <w:numPr>
        <w:ilvl w:val="8"/>
        <w:numId w:val="1"/>
      </w:numPr>
      <w:pBdr/>
      <w:tabs>
        <w:tab w:val="clear" w:leader="none" w:pos="567"/>
      </w:tabs>
      <w:spacing w:after="60" w:before="240" w:line="240" w:lineRule="auto"/>
      <w:ind/>
      <w:outlineLvl w:val="8"/>
    </w:pPr>
    <w:rPr>
      <w:b/>
      <w:i/>
      <w:sz w:val="18"/>
    </w:rPr>
  </w:style>
  <w:style w:type="character" w:styleId="1083">
    <w:name w:val="Standardní písmo odstavce"/>
    <w:next w:val="1083"/>
    <w:link w:val="1073"/>
    <w:semiHidden/>
    <w:pPr>
      <w:pBdr/>
      <w:spacing/>
      <w:ind/>
    </w:pPr>
  </w:style>
  <w:style w:type="table" w:styleId="1084">
    <w:name w:val="Normální tabulka"/>
    <w:next w:val="1084"/>
    <w:link w:val="1073"/>
    <w:uiPriority w:val="99"/>
    <w:semiHidden/>
    <w:unhideWhenUsed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85">
    <w:name w:val="Bez seznamu"/>
    <w:next w:val="1085"/>
    <w:link w:val="1073"/>
    <w:uiPriority w:val="99"/>
    <w:semiHidden/>
    <w:unhideWhenUsed/>
    <w:pPr>
      <w:pBdr/>
      <w:spacing/>
      <w:ind/>
    </w:pPr>
  </w:style>
  <w:style w:type="paragraph" w:styleId="1086">
    <w:name w:val="Záhlaví"/>
    <w:basedOn w:val="1073"/>
    <w:next w:val="1086"/>
    <w:link w:val="1115"/>
    <w:uiPriority w:val="99"/>
    <w:pPr>
      <w:pBdr/>
      <w:tabs>
        <w:tab w:val="center" w:leader="none" w:pos="4536"/>
        <w:tab w:val="right" w:leader="none" w:pos="9072"/>
      </w:tabs>
      <w:spacing w:line="240" w:lineRule="auto"/>
      <w:ind/>
    </w:pPr>
  </w:style>
  <w:style w:type="paragraph" w:styleId="1087">
    <w:name w:val="Zápatí"/>
    <w:basedOn w:val="1073"/>
    <w:next w:val="1087"/>
    <w:link w:val="1073"/>
    <w:semiHidden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1088">
    <w:name w:val="Číslo stránky"/>
    <w:basedOn w:val="1083"/>
    <w:next w:val="1088"/>
    <w:link w:val="1073"/>
    <w:semiHidden/>
    <w:pPr>
      <w:pBdr/>
      <w:spacing/>
      <w:ind/>
    </w:pPr>
  </w:style>
  <w:style w:type="paragraph" w:styleId="1089">
    <w:name w:val="Obsah 3"/>
    <w:basedOn w:val="1073"/>
    <w:next w:val="1073"/>
    <w:link w:val="1073"/>
    <w:uiPriority w:val="39"/>
    <w:pPr>
      <w:pBdr/>
      <w:tabs>
        <w:tab w:val="right" w:leader="dot" w:pos="9356"/>
      </w:tabs>
      <w:spacing/>
      <w:ind w:left="227"/>
      <w:jc w:val="left"/>
    </w:pPr>
    <w:rPr>
      <w:caps/>
      <w:sz w:val="20"/>
    </w:rPr>
  </w:style>
  <w:style w:type="paragraph" w:styleId="1090">
    <w:name w:val="Obsah 2"/>
    <w:basedOn w:val="1073"/>
    <w:next w:val="1073"/>
    <w:link w:val="1073"/>
    <w:uiPriority w:val="39"/>
    <w:pPr>
      <w:pBdr/>
      <w:tabs>
        <w:tab w:val="right" w:leader="dot" w:pos="9355"/>
      </w:tabs>
      <w:spacing/>
      <w:ind w:left="113"/>
      <w:jc w:val="left"/>
    </w:pPr>
    <w:rPr>
      <w:caps/>
      <w:sz w:val="20"/>
    </w:rPr>
  </w:style>
  <w:style w:type="paragraph" w:styleId="1091">
    <w:name w:val="Obsah 1"/>
    <w:basedOn w:val="1073"/>
    <w:next w:val="1073"/>
    <w:link w:val="1073"/>
    <w:uiPriority w:val="39"/>
    <w:pPr>
      <w:pBdr/>
      <w:tabs>
        <w:tab w:val="right" w:leader="dot" w:pos="9355"/>
      </w:tabs>
      <w:spacing/>
      <w:ind/>
      <w:jc w:val="left"/>
    </w:pPr>
    <w:rPr>
      <w:caps/>
      <w:sz w:val="20"/>
    </w:rPr>
  </w:style>
  <w:style w:type="paragraph" w:styleId="1092">
    <w:name w:val="Obsah 4"/>
    <w:basedOn w:val="1073"/>
    <w:next w:val="1073"/>
    <w:link w:val="1073"/>
    <w:semiHidden/>
    <w:pPr>
      <w:pBdr/>
      <w:tabs>
        <w:tab w:val="right" w:leader="dot" w:pos="9356"/>
      </w:tabs>
      <w:spacing/>
      <w:ind/>
      <w:jc w:val="center"/>
    </w:pPr>
    <w:rPr>
      <w:b/>
      <w:sz w:val="28"/>
    </w:rPr>
  </w:style>
  <w:style w:type="paragraph" w:styleId="1093">
    <w:name w:val="Základní text"/>
    <w:basedOn w:val="1073"/>
    <w:next w:val="1093"/>
    <w:link w:val="1073"/>
    <w:semiHidden/>
    <w:pPr>
      <w:pBdr/>
      <w:spacing/>
      <w:ind/>
    </w:pPr>
    <w:rPr>
      <w:color w:val="ff00ff"/>
    </w:rPr>
  </w:style>
  <w:style w:type="paragraph" w:styleId="1094">
    <w:name w:val="NADPIS"/>
    <w:basedOn w:val="1073"/>
    <w:next w:val="1074"/>
    <w:link w:val="1073"/>
    <w:pPr>
      <w:pBdr/>
      <w:spacing w:after="240" w:before="120"/>
      <w:ind/>
      <w:jc w:val="center"/>
    </w:pPr>
    <w:rPr>
      <w:b/>
      <w:caps/>
      <w:sz w:val="32"/>
      <w:u w:val="single"/>
    </w:rPr>
  </w:style>
  <w:style w:type="paragraph" w:styleId="1095">
    <w:name w:val="Body Text 2"/>
    <w:basedOn w:val="1073"/>
    <w:next w:val="1095"/>
    <w:link w:val="1073"/>
    <w:pPr>
      <w:pBdr/>
      <w:spacing/>
      <w:ind w:left="284"/>
    </w:pPr>
  </w:style>
  <w:style w:type="paragraph" w:styleId="1096">
    <w:name w:val="Body Text Indent 2"/>
    <w:basedOn w:val="1073"/>
    <w:next w:val="1096"/>
    <w:link w:val="1073"/>
    <w:pPr>
      <w:pBdr/>
      <w:spacing/>
      <w:ind w:firstLine="284"/>
    </w:pPr>
  </w:style>
  <w:style w:type="paragraph" w:styleId="1097">
    <w:name w:val="Body Text Indent 3"/>
    <w:basedOn w:val="1073"/>
    <w:next w:val="1097"/>
    <w:link w:val="1073"/>
    <w:pPr>
      <w:pBdr/>
      <w:spacing/>
      <w:ind w:firstLine="284"/>
    </w:pPr>
    <w:rPr>
      <w:color w:val="ff00ff"/>
    </w:rPr>
  </w:style>
  <w:style w:type="paragraph" w:styleId="1098">
    <w:name w:val="Obsah 5"/>
    <w:basedOn w:val="1073"/>
    <w:next w:val="1073"/>
    <w:link w:val="1073"/>
    <w:semiHidden/>
    <w:pPr>
      <w:pBdr/>
      <w:spacing/>
      <w:ind w:left="960"/>
    </w:pPr>
  </w:style>
  <w:style w:type="paragraph" w:styleId="1099">
    <w:name w:val="Obsah 6"/>
    <w:basedOn w:val="1073"/>
    <w:next w:val="1073"/>
    <w:link w:val="1073"/>
    <w:semiHidden/>
    <w:pPr>
      <w:pBdr/>
      <w:spacing/>
      <w:ind w:left="1200"/>
    </w:pPr>
  </w:style>
  <w:style w:type="paragraph" w:styleId="1100">
    <w:name w:val="Obsah 7"/>
    <w:basedOn w:val="1073"/>
    <w:next w:val="1073"/>
    <w:link w:val="1073"/>
    <w:semiHidden/>
    <w:pPr>
      <w:pBdr/>
      <w:spacing/>
      <w:ind w:left="1440"/>
    </w:pPr>
  </w:style>
  <w:style w:type="paragraph" w:styleId="1101">
    <w:name w:val="Obsah 8"/>
    <w:basedOn w:val="1073"/>
    <w:next w:val="1073"/>
    <w:link w:val="1073"/>
    <w:semiHidden/>
    <w:pPr>
      <w:pBdr/>
      <w:spacing/>
      <w:ind w:left="1680"/>
    </w:pPr>
  </w:style>
  <w:style w:type="paragraph" w:styleId="1102">
    <w:name w:val="Obsah 9"/>
    <w:basedOn w:val="1073"/>
    <w:next w:val="1073"/>
    <w:link w:val="1073"/>
    <w:semiHidden/>
    <w:pPr>
      <w:pBdr/>
      <w:spacing/>
      <w:ind w:left="1920"/>
    </w:pPr>
  </w:style>
  <w:style w:type="paragraph" w:styleId="1103">
    <w:name w:val="seznam"/>
    <w:basedOn w:val="1073"/>
    <w:next w:val="1103"/>
    <w:link w:val="1073"/>
    <w:pPr>
      <w:widowControl w:val="false"/>
      <w:pBdr/>
      <w:tabs>
        <w:tab w:val="clear" w:leader="none" w:pos="567"/>
      </w:tabs>
      <w:spacing/>
      <w:ind/>
    </w:pPr>
    <w:rPr>
      <w:rFonts w:ascii="Times New Roman" w:hAnsi="Times New Roman"/>
      <w:sz w:val="24"/>
    </w:rPr>
  </w:style>
  <w:style w:type="character" w:styleId="1104">
    <w:name w:val="Hyperlink1"/>
    <w:next w:val="1104"/>
    <w:link w:val="1073"/>
    <w:pPr>
      <w:pBdr/>
      <w:spacing/>
      <w:ind/>
    </w:pPr>
    <w:rPr>
      <w:color w:val="0000ff"/>
      <w:u w:val="single"/>
    </w:rPr>
  </w:style>
  <w:style w:type="paragraph" w:styleId="1105">
    <w:name w:val="Seznam"/>
    <w:basedOn w:val="1073"/>
    <w:next w:val="1105"/>
    <w:link w:val="1073"/>
    <w:semiHidden/>
    <w:pPr>
      <w:pBdr/>
      <w:tabs>
        <w:tab w:val="clear" w:leader="none" w:pos="567"/>
      </w:tabs>
      <w:spacing w:line="240" w:lineRule="auto"/>
      <w:ind w:hanging="283" w:left="283"/>
    </w:pPr>
    <w:rPr>
      <w:sz w:val="24"/>
    </w:rPr>
  </w:style>
  <w:style w:type="paragraph" w:styleId="1106">
    <w:name w:val="Body Text 3"/>
    <w:basedOn w:val="1073"/>
    <w:next w:val="1106"/>
    <w:link w:val="1073"/>
    <w:pPr>
      <w:pBdr/>
      <w:tabs>
        <w:tab w:val="clear" w:leader="none" w:pos="567"/>
      </w:tabs>
      <w:spacing w:line="240" w:lineRule="auto"/>
      <w:ind/>
    </w:pPr>
    <w:rPr>
      <w:b/>
      <w:i/>
      <w:sz w:val="24"/>
    </w:rPr>
  </w:style>
  <w:style w:type="paragraph" w:styleId="1107">
    <w:name w:val="Text bubliny"/>
    <w:basedOn w:val="1073"/>
    <w:next w:val="1107"/>
    <w:link w:val="1073"/>
    <w:semiHidden/>
    <w:pPr>
      <w:pBdr/>
      <w:spacing/>
      <w:ind/>
    </w:pPr>
    <w:rPr>
      <w:rFonts w:ascii="Tahoma" w:hAnsi="Tahoma" w:cs="SuperFrench"/>
      <w:sz w:val="16"/>
      <w:szCs w:val="16"/>
    </w:rPr>
  </w:style>
  <w:style w:type="character" w:styleId="1108">
    <w:name w:val="Hypertextový odkaz"/>
    <w:next w:val="1108"/>
    <w:link w:val="1073"/>
    <w:uiPriority w:val="99"/>
    <w:pPr>
      <w:pBdr/>
      <w:spacing/>
      <w:ind/>
    </w:pPr>
    <w:rPr>
      <w:color w:val="0000ff"/>
      <w:u w:val="single"/>
    </w:rPr>
  </w:style>
  <w:style w:type="paragraph" w:styleId="1109">
    <w:name w:val="Rozložení dokumentu"/>
    <w:basedOn w:val="1073"/>
    <w:next w:val="1109"/>
    <w:link w:val="1073"/>
    <w:semiHidden/>
    <w:pPr>
      <w:pBdr/>
      <w:shd w:val="clear" w:color="auto" w:fill="000080"/>
      <w:spacing/>
      <w:ind/>
    </w:pPr>
    <w:rPr>
      <w:rFonts w:ascii="Tahoma" w:hAnsi="Tahoma" w:cs="SuperFrench"/>
      <w:sz w:val="20"/>
    </w:rPr>
  </w:style>
  <w:style w:type="paragraph" w:styleId="1110">
    <w:name w:val="Základní text odsazený"/>
    <w:basedOn w:val="1073"/>
    <w:next w:val="1110"/>
    <w:link w:val="1073"/>
    <w:semiHidden/>
    <w:pPr>
      <w:pBdr/>
      <w:spacing w:after="120"/>
      <w:ind w:left="283"/>
    </w:pPr>
  </w:style>
  <w:style w:type="paragraph" w:styleId="1111">
    <w:name w:val="Základní text 2"/>
    <w:basedOn w:val="1073"/>
    <w:next w:val="1111"/>
    <w:link w:val="1073"/>
    <w:semiHidden/>
    <w:pPr>
      <w:pBdr/>
      <w:spacing w:after="120" w:line="480" w:lineRule="auto"/>
      <w:ind/>
    </w:pPr>
  </w:style>
  <w:style w:type="paragraph" w:styleId="1112">
    <w:name w:val="Základní text odsazený 2"/>
    <w:basedOn w:val="1073"/>
    <w:next w:val="1112"/>
    <w:link w:val="1073"/>
    <w:semiHidden/>
    <w:pPr>
      <w:pBdr/>
      <w:spacing/>
      <w:ind w:firstLine="360"/>
    </w:pPr>
    <w:rPr>
      <w:sz w:val="24"/>
    </w:rPr>
  </w:style>
  <w:style w:type="paragraph" w:styleId="1113">
    <w:name w:val="Základní text odsazený 3"/>
    <w:basedOn w:val="1073"/>
    <w:next w:val="1113"/>
    <w:link w:val="1073"/>
    <w:semiHidden/>
    <w:pPr>
      <w:pBdr/>
      <w:spacing/>
      <w:ind w:firstLine="567"/>
    </w:pPr>
  </w:style>
  <w:style w:type="paragraph" w:styleId="1114">
    <w:name w:val="Základní text 3"/>
    <w:basedOn w:val="1073"/>
    <w:next w:val="1114"/>
    <w:link w:val="1073"/>
    <w:semiHidden/>
    <w:pPr>
      <w:pBdr/>
      <w:spacing/>
      <w:ind/>
      <w:jc w:val="left"/>
    </w:pPr>
  </w:style>
  <w:style w:type="character" w:styleId="1115">
    <w:name w:val="Záhlaví Char"/>
    <w:next w:val="1115"/>
    <w:link w:val="1086"/>
    <w:uiPriority w:val="99"/>
    <w:pPr>
      <w:pBdr/>
      <w:spacing/>
      <w:ind/>
    </w:pPr>
    <w:rPr>
      <w:rFonts w:ascii="Arial" w:hAnsi="Arial"/>
      <w:sz w:val="22"/>
    </w:rPr>
  </w:style>
  <w:style w:type="paragraph" w:styleId="1116">
    <w:name w:val="Nadpis obsahu"/>
    <w:basedOn w:val="1074"/>
    <w:next w:val="1073"/>
    <w:link w:val="1073"/>
    <w:uiPriority w:val="39"/>
    <w:unhideWhenUsed/>
    <w:qFormat/>
    <w:pPr>
      <w:keepLines w:val="true"/>
      <w:numPr>
        <w:ilvl w:val="0"/>
        <w:numId w:val="0"/>
      </w:numPr>
      <w:pBdr/>
      <w:tabs>
        <w:tab w:val="clear" w:leader="none" w:pos="567"/>
      </w:tabs>
      <w:spacing w:after="0" w:before="240" w:line="259" w:lineRule="auto"/>
      <w:ind/>
      <w:outlineLvl w:val="9"/>
    </w:pPr>
    <w:rPr>
      <w:rFonts w:ascii="Calibri Light" w:hAnsi="Calibri Light" w:eastAsia="Times New Roman" w:cs="Times New Roman"/>
      <w:b w:val="0"/>
      <w:caps w:val="0"/>
      <w:color w:val="2e74b5"/>
      <w:sz w:val="32"/>
      <w:szCs w:val="32"/>
      <w:u w:val="none"/>
    </w:rPr>
  </w:style>
  <w:style w:type="character" w:styleId="1117">
    <w:name w:val="Nadpis 4 Char"/>
    <w:next w:val="1117"/>
    <w:link w:val="1077"/>
    <w:pPr>
      <w:pBdr/>
      <w:spacing/>
      <w:ind/>
    </w:pPr>
    <w:rPr>
      <w:rFonts w:ascii="Arial" w:hAnsi="Arial"/>
      <w:b/>
      <w:i/>
      <w:sz w:val="24"/>
      <w:u w:val="single"/>
    </w:rPr>
  </w:style>
  <w:style w:type="paragraph" w:styleId="1118">
    <w:name w:val="Odstavec se seznamem"/>
    <w:basedOn w:val="1073"/>
    <w:next w:val="1118"/>
    <w:link w:val="1073"/>
    <w:uiPriority w:val="34"/>
    <w:qFormat/>
    <w:pPr>
      <w:pBdr/>
      <w:spacing/>
      <w:ind w:left="708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VIS a. s.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Jana</dc:creator>
  <cp:revision>187</cp:revision>
  <dcterms:created xsi:type="dcterms:W3CDTF">2014-05-13T07:48:00Z</dcterms:created>
  <dcterms:modified xsi:type="dcterms:W3CDTF">2025-12-10T13:40:41Z</dcterms:modified>
  <cp:version>983040</cp:version>
</cp:coreProperties>
</file>